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BF3468" w:rsidRDefault="00BF3468"/>
    <w:p w:rsidR="00BF3468" w:rsidRDefault="00BF3468"/>
    <w:p w:rsidR="00BF3468" w:rsidRDefault="00BF3468"/>
    <w:p w:rsidR="00BF3468" w:rsidRDefault="00BF3468"/>
    <w:p w:rsidR="00BF3468" w:rsidRDefault="00BF3468"/>
    <w:p w:rsidR="00BF3468" w:rsidRDefault="00BF3468"/>
    <w:p w:rsidR="00BF3468" w:rsidRDefault="00BF3468"/>
    <w:p w:rsidR="00BF3468" w:rsidRDefault="00BF3468"/>
    <w:tbl>
      <w:tblPr>
        <w:tblW w:w="11842" w:type="dxa"/>
        <w:jc w:val="center"/>
        <w:tblCellMar>
          <w:left w:w="70" w:type="dxa"/>
          <w:right w:w="70" w:type="dxa"/>
        </w:tblCellMar>
        <w:tblLook w:val="04A0"/>
      </w:tblPr>
      <w:tblGrid>
        <w:gridCol w:w="4835"/>
        <w:gridCol w:w="1417"/>
        <w:gridCol w:w="1418"/>
        <w:gridCol w:w="1417"/>
        <w:gridCol w:w="1418"/>
        <w:gridCol w:w="1337"/>
      </w:tblGrid>
      <w:tr w:rsidR="00BF3468" w:rsidRPr="00BF3468" w:rsidTr="00BF3468">
        <w:trPr>
          <w:trHeight w:val="330"/>
          <w:jc w:val="center"/>
        </w:trPr>
        <w:tc>
          <w:tcPr>
            <w:tcW w:w="118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BF3468" w:rsidRPr="00BF3468" w:rsidRDefault="00BF3468" w:rsidP="00BF3468">
            <w:pPr>
              <w:jc w:val="center"/>
              <w:rPr>
                <w:rFonts w:eastAsia="Times New Roman"/>
                <w:b/>
                <w:bCs/>
                <w:color w:val="0070C0"/>
                <w:szCs w:val="24"/>
                <w:lang w:eastAsia="fr-FR"/>
              </w:rPr>
            </w:pPr>
            <w:r w:rsidRPr="00BF3468">
              <w:rPr>
                <w:rFonts w:eastAsia="Times New Roman"/>
                <w:b/>
                <w:bCs/>
                <w:color w:val="0070C0"/>
                <w:szCs w:val="24"/>
                <w:lang w:eastAsia="fr-FR"/>
              </w:rPr>
              <w:t>Société DOLUS - Tableau des flux de trésorerie générés par le projet  en K€</w:t>
            </w:r>
          </w:p>
        </w:tc>
      </w:tr>
      <w:tr w:rsidR="00BF3468" w:rsidRPr="00BF3468" w:rsidTr="00BF3468">
        <w:trPr>
          <w:trHeight w:val="330"/>
          <w:jc w:val="center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BF3468" w:rsidRPr="00BF3468" w:rsidRDefault="00BF3468" w:rsidP="00BF3468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F3468">
              <w:rPr>
                <w:rFonts w:eastAsia="Times New Roman"/>
                <w:b/>
                <w:bCs/>
                <w:szCs w:val="24"/>
                <w:lang w:eastAsia="fr-FR"/>
              </w:rPr>
              <w:t>Exercices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BF3468" w:rsidRPr="00BF3468" w:rsidRDefault="00BF3468" w:rsidP="00BF3468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F3468">
              <w:rPr>
                <w:rFonts w:eastAsia="Times New Roman"/>
                <w:b/>
                <w:bCs/>
                <w:szCs w:val="24"/>
                <w:lang w:eastAsia="fr-F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F3468" w:rsidRPr="00BF3468" w:rsidRDefault="00BF3468" w:rsidP="00BF3468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F3468">
              <w:rPr>
                <w:rFonts w:eastAsia="Times New Roman"/>
                <w:b/>
                <w:bCs/>
                <w:szCs w:val="24"/>
                <w:lang w:eastAsia="fr-FR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BF3468" w:rsidRPr="00BF3468" w:rsidRDefault="00BF3468" w:rsidP="00BF3468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F3468">
              <w:rPr>
                <w:rFonts w:eastAsia="Times New Roman"/>
                <w:b/>
                <w:bCs/>
                <w:szCs w:val="24"/>
                <w:lang w:eastAsia="fr-F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BF3468" w:rsidRPr="00BF3468" w:rsidRDefault="00BF3468" w:rsidP="00BF3468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F3468">
              <w:rPr>
                <w:rFonts w:eastAsia="Times New Roman"/>
                <w:b/>
                <w:bCs/>
                <w:szCs w:val="24"/>
                <w:lang w:eastAsia="fr-FR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BF3468" w:rsidRPr="00BF3468" w:rsidRDefault="00BF3468" w:rsidP="00BF3468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F3468">
              <w:rPr>
                <w:rFonts w:eastAsia="Times New Roman"/>
                <w:b/>
                <w:bCs/>
                <w:szCs w:val="24"/>
                <w:lang w:eastAsia="fr-FR"/>
              </w:rPr>
              <w:t>4</w:t>
            </w:r>
          </w:p>
        </w:tc>
      </w:tr>
      <w:tr w:rsidR="00BF3468" w:rsidRPr="00BF3468" w:rsidTr="00BF3468">
        <w:trPr>
          <w:trHeight w:val="330"/>
          <w:jc w:val="center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</w:pPr>
            <w:r w:rsidRPr="00BF3468"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  <w:t>Encaissements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F3468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F3468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F3468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F3468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F3468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BF3468" w:rsidRPr="00BF3468" w:rsidTr="00BF3468">
        <w:trPr>
          <w:trHeight w:val="330"/>
          <w:jc w:val="center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F3468">
              <w:rPr>
                <w:rFonts w:eastAsia="Times New Roman"/>
                <w:szCs w:val="24"/>
                <w:lang w:eastAsia="fr-FR"/>
              </w:rPr>
              <w:t xml:space="preserve">Capacité d'Autofinancement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F3468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F3468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F3468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F3468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F3468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BF3468" w:rsidRPr="00BF3468" w:rsidTr="00BF3468">
        <w:trPr>
          <w:trHeight w:val="330"/>
          <w:jc w:val="center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F3468">
              <w:rPr>
                <w:rFonts w:eastAsia="Times New Roman"/>
                <w:szCs w:val="24"/>
                <w:lang w:eastAsia="fr-FR"/>
              </w:rPr>
              <w:t>Récupération du BFRE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F3468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F3468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F3468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F3468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F3468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BF3468" w:rsidRPr="00BF3468" w:rsidTr="00BF3468">
        <w:trPr>
          <w:trHeight w:val="330"/>
          <w:jc w:val="center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F3468">
              <w:rPr>
                <w:rFonts w:eastAsia="Times New Roman"/>
                <w:szCs w:val="24"/>
                <w:lang w:eastAsia="fr-FR"/>
              </w:rPr>
              <w:t>Valeur résiduelle des immobilisations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F3468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F3468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F3468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F3468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F3468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BF3468" w:rsidRPr="00BF3468" w:rsidTr="00BF3468">
        <w:trPr>
          <w:trHeight w:val="330"/>
          <w:jc w:val="center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</w:pPr>
            <w:r w:rsidRPr="00BF3468"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  <w:t>Décaissements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F3468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F3468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F3468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F3468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F3468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BF3468" w:rsidRPr="00BF3468" w:rsidTr="00BF3468">
        <w:trPr>
          <w:trHeight w:val="330"/>
          <w:jc w:val="center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F3468">
              <w:rPr>
                <w:rFonts w:eastAsia="Times New Roman"/>
                <w:szCs w:val="24"/>
                <w:lang w:eastAsia="fr-FR"/>
              </w:rPr>
              <w:t>Immobilisations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F3468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F3468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F3468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F3468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F3468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BF3468" w:rsidRPr="00BF3468" w:rsidTr="00BF3468">
        <w:trPr>
          <w:trHeight w:val="330"/>
          <w:jc w:val="center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F3468">
              <w:rPr>
                <w:rFonts w:eastAsia="Times New Roman"/>
                <w:szCs w:val="24"/>
                <w:lang w:eastAsia="fr-FR"/>
              </w:rPr>
              <w:t>Augmentation du BFRE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F3468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F3468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F3468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F3468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BF3468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BF3468" w:rsidRPr="00BF3468" w:rsidTr="00BF3468">
        <w:trPr>
          <w:trHeight w:val="330"/>
          <w:jc w:val="center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F3468">
              <w:rPr>
                <w:rFonts w:eastAsia="Times New Roman"/>
                <w:b/>
                <w:bCs/>
                <w:szCs w:val="24"/>
                <w:lang w:eastAsia="fr-FR"/>
              </w:rPr>
              <w:t>Total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F3468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F3468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F3468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F3468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F3468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BF3468" w:rsidRPr="00BF3468" w:rsidTr="00BF3468">
        <w:trPr>
          <w:trHeight w:val="330"/>
          <w:jc w:val="center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F3468">
              <w:rPr>
                <w:rFonts w:eastAsia="Times New Roman"/>
                <w:b/>
                <w:bCs/>
                <w:szCs w:val="24"/>
                <w:lang w:eastAsia="fr-FR"/>
              </w:rPr>
              <w:t>Flux Nets de Trésorerie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F3468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F3468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F3468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F3468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F3468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BF3468" w:rsidRPr="00BF3468" w:rsidTr="00BF3468">
        <w:trPr>
          <w:trHeight w:val="330"/>
          <w:jc w:val="center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F3468">
              <w:rPr>
                <w:rFonts w:eastAsia="Times New Roman"/>
                <w:b/>
                <w:bCs/>
                <w:szCs w:val="24"/>
                <w:lang w:eastAsia="fr-FR"/>
              </w:rPr>
              <w:t>Flux Nets de Trésorerie cumulés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F3468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F3468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F3468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F3468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F3468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BF3468" w:rsidRPr="00BF3468" w:rsidTr="00BF3468">
        <w:trPr>
          <w:trHeight w:val="330"/>
          <w:jc w:val="center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F3468">
              <w:rPr>
                <w:rFonts w:eastAsia="Times New Roman"/>
                <w:b/>
                <w:bCs/>
                <w:szCs w:val="24"/>
                <w:lang w:eastAsia="fr-FR"/>
              </w:rPr>
              <w:t>Flux Nets de Trésorerie cumulés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F3468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F3468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F3468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F3468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468" w:rsidRPr="00BF3468" w:rsidRDefault="00BF3468" w:rsidP="00BF3468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BF3468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</w:tbl>
    <w:p w:rsidR="00BF3468" w:rsidRDefault="00BF3468"/>
    <w:sectPr w:rsidR="00BF3468" w:rsidSect="00BF3468">
      <w:pgSz w:w="16840" w:h="11907" w:orient="landscape" w:code="9"/>
      <w:pgMar w:top="1134" w:right="851" w:bottom="1134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BF3468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877B1E"/>
    <w:rsid w:val="008F062A"/>
    <w:rsid w:val="0093413C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BF3468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1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2010-04-27T11:45:00Z</dcterms:created>
  <dcterms:modified xsi:type="dcterms:W3CDTF">2010-04-27T11:46:00Z</dcterms:modified>
</cp:coreProperties>
</file>