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866CB6" w:rsidRDefault="00866CB6"/>
    <w:p w:rsidR="00866CB6" w:rsidRDefault="00866CB6"/>
    <w:p w:rsidR="00866CB6" w:rsidRDefault="00866CB6"/>
    <w:p w:rsidR="00866CB6" w:rsidRDefault="00866CB6"/>
    <w:p w:rsidR="00866CB6" w:rsidRDefault="00866CB6"/>
    <w:p w:rsidR="00866CB6" w:rsidRDefault="00866CB6"/>
    <w:p w:rsidR="00866CB6" w:rsidRDefault="00866CB6"/>
    <w:p w:rsidR="00866CB6" w:rsidRDefault="00866CB6"/>
    <w:p w:rsidR="00866CB6" w:rsidRDefault="00866CB6"/>
    <w:tbl>
      <w:tblPr>
        <w:tblW w:w="11922" w:type="dxa"/>
        <w:jc w:val="center"/>
        <w:tblCellMar>
          <w:left w:w="70" w:type="dxa"/>
          <w:right w:w="70" w:type="dxa"/>
        </w:tblCellMar>
        <w:tblLook w:val="04A0"/>
      </w:tblPr>
      <w:tblGrid>
        <w:gridCol w:w="4332"/>
        <w:gridCol w:w="1637"/>
        <w:gridCol w:w="4350"/>
        <w:gridCol w:w="1603"/>
      </w:tblGrid>
      <w:tr w:rsidR="00866CB6" w:rsidRPr="00866CB6" w:rsidTr="00866CB6">
        <w:trPr>
          <w:trHeight w:val="315"/>
          <w:jc w:val="center"/>
        </w:trPr>
        <w:tc>
          <w:tcPr>
            <w:tcW w:w="11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866CB6" w:rsidRPr="00866CB6" w:rsidRDefault="00866CB6" w:rsidP="00866CB6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Société FRE - Bilan au 30/06/N+1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866CB6" w:rsidRPr="00866CB6" w:rsidRDefault="00866CB6" w:rsidP="00866CB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sz w:val="22"/>
                <w:lang w:eastAsia="fr-FR"/>
              </w:rPr>
              <w:t>ACTIF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866CB6" w:rsidRPr="00866CB6" w:rsidRDefault="00866CB6" w:rsidP="00866CB6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sz w:val="22"/>
                <w:lang w:eastAsia="fr-FR"/>
              </w:rPr>
              <w:t>PASSIF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sz w:val="22"/>
                <w:lang w:eastAsia="fr-FR"/>
              </w:rPr>
              <w:t>Actif Immobilisé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sz w:val="22"/>
                <w:lang w:eastAsia="fr-FR"/>
              </w:rPr>
              <w:t xml:space="preserve">Capitaux propres 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Immobilisations incorporelles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Capital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Immobilisations corporelles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Réserves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Amortissements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Résultat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color w:val="FF0000"/>
                <w:sz w:val="22"/>
                <w:lang w:eastAsia="fr-FR"/>
              </w:rPr>
            </w:pPr>
            <w:r w:rsidRPr="00866CB6">
              <w:rPr>
                <w:rFonts w:eastAsia="Times New Roman"/>
                <w:color w:val="FF0000"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sz w:val="22"/>
                <w:lang w:eastAsia="fr-FR"/>
              </w:rPr>
              <w:t>Dettes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sz w:val="22"/>
                <w:lang w:eastAsia="fr-FR"/>
              </w:rPr>
              <w:t>Actif circulant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Emprunts et dettes établissements crédit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Matières premières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Emprunts et dettes financières diverses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Produits finis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Dettes fournisseurs (ABS)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Clients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Dettes Fiscales et sociales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Disponibilités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Trésorerie passive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Dettes Diverses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i/>
                <w:iCs/>
                <w:sz w:val="22"/>
                <w:lang w:eastAsia="fr-FR"/>
              </w:rPr>
            </w:pPr>
            <w:r w:rsidRPr="00866CB6">
              <w:rPr>
                <w:rFonts w:eastAsia="Times New Roman"/>
                <w:i/>
                <w:iCs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Dettes sur immobilisations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866CB6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866CB6" w:rsidRPr="00866CB6" w:rsidTr="00866CB6">
        <w:trPr>
          <w:trHeight w:val="300"/>
          <w:jc w:val="center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66CB6" w:rsidRPr="00866CB6" w:rsidRDefault="00866CB6" w:rsidP="00866CB6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sz w:val="22"/>
                <w:lang w:eastAsia="fr-FR"/>
              </w:rPr>
              <w:t>Total général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6CB6" w:rsidRPr="00866CB6" w:rsidRDefault="00866CB6" w:rsidP="00866CB6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sz w:val="22"/>
                <w:lang w:eastAsia="fr-FR"/>
              </w:rPr>
              <w:t>Total général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66CB6" w:rsidRPr="00866CB6" w:rsidRDefault="00866CB6" w:rsidP="00866CB6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866CB6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</w:tbl>
    <w:p w:rsidR="00866CB6" w:rsidRDefault="00866CB6"/>
    <w:sectPr w:rsidR="00866CB6" w:rsidSect="00866CB6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66CB6"/>
    <w:rsid w:val="000A02BC"/>
    <w:rsid w:val="000F101F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66CB6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2010-04-22T18:50:00Z</dcterms:created>
  <dcterms:modified xsi:type="dcterms:W3CDTF">2010-04-22T18:50:00Z</dcterms:modified>
</cp:coreProperties>
</file>