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6A154C" w:rsidRDefault="006A154C"/>
    <w:p w:rsidR="006A154C" w:rsidRDefault="006A154C"/>
    <w:p w:rsidR="006A154C" w:rsidRDefault="006A154C"/>
    <w:p w:rsidR="006A154C" w:rsidRDefault="006A154C"/>
    <w:p w:rsidR="006A154C" w:rsidRDefault="006A154C"/>
    <w:tbl>
      <w:tblPr>
        <w:tblW w:w="11922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7109"/>
        <w:gridCol w:w="1560"/>
        <w:gridCol w:w="1417"/>
        <w:gridCol w:w="1559"/>
      </w:tblGrid>
      <w:tr w:rsidR="006A154C" w:rsidRPr="006A154C" w:rsidTr="007E1616">
        <w:trPr>
          <w:trHeight w:val="330"/>
          <w:jc w:val="center"/>
        </w:trPr>
        <w:tc>
          <w:tcPr>
            <w:tcW w:w="11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Analyse des bilans fonctionnels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variations </w:t>
            </w:r>
          </w:p>
        </w:tc>
      </w:tr>
      <w:tr w:rsidR="006A154C" w:rsidRPr="006A154C" w:rsidTr="007E1616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Ressources Stables (RS)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Emplois Stables (ES)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Actif Circulant d'Exploitation (ACE)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Passif Circulant d'Exploitation (PCE)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Actif Circulant Hors Exploitation (ACHE)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Passif Circulant Hors Exploitation (PCHE)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(BFR)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Trésorerie Active (TA)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Trésorerie Passive (TP)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Vérifications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Variations 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FRNG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6A154C" w:rsidRPr="006A154C" w:rsidTr="007E1616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54C" w:rsidRPr="006A154C" w:rsidRDefault="006A154C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6A154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54C" w:rsidRPr="006A154C" w:rsidRDefault="006A154C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szCs w:val="24"/>
                <w:lang w:eastAsia="fr-FR"/>
              </w:rPr>
              <w:t>FRNG = BFRE + BFRHE + TN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54C" w:rsidRPr="006A154C" w:rsidRDefault="006A154C" w:rsidP="007E161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6A154C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</w:tbl>
    <w:p w:rsidR="006A154C" w:rsidRDefault="006A154C"/>
    <w:sectPr w:rsidR="006A154C" w:rsidSect="006A154C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A154C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6A154C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2010-04-20T17:56:00Z</dcterms:created>
  <dcterms:modified xsi:type="dcterms:W3CDTF">2010-04-20T17:59:00Z</dcterms:modified>
</cp:coreProperties>
</file>