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9652A7" w:rsidRDefault="009652A7"/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19"/>
        <w:gridCol w:w="1560"/>
        <w:gridCol w:w="1417"/>
      </w:tblGrid>
      <w:tr w:rsidR="009652A7" w:rsidRPr="009652A7" w:rsidTr="009652A7">
        <w:trPr>
          <w:trHeight w:val="509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Capacité d'autofinancement de l'exercice N</w:t>
            </w:r>
            <w:r w:rsidRPr="009652A7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br/>
              <w:t>avec retraitement des redevances de crédit-bail</w:t>
            </w:r>
          </w:p>
        </w:tc>
      </w:tr>
      <w:tr w:rsidR="009652A7" w:rsidRPr="009652A7" w:rsidTr="009652A7">
        <w:trPr>
          <w:trHeight w:val="26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Méthode soustractive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en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en +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Excédent ou Insuffisance Brut(e)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Autres produits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Quote-part de produits sur opérations en commun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Produits de participation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Autres valeurs mobilières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Autres intérêts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Différences positives de change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Produits nets sur cessions de VMP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Autres produits exceptionnels sur autres opérations en capital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Total des produits encaissés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Autres charges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Quote-part de produits sur opérations en commun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Intérêts et charges assimilées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Différences négatives de change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Charges nettes sur cessions de VMP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Autres charges exceptionnelles sur autres opérations en capital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Participation des salariés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Impôts sur les bénéfices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Total des charges décaissées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Méthode additive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en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en +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Résultat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Dotations d'exploitation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Dotations financières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Dotations exceptionnelles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Valeurs comptables des éléments d'actif cédés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Total des charges calculées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Reprises d'exploitation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Reprises financières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Reprises exceptionnelles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5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Quote-part de subventions d'investissement virée au résultat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652A7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Total des produits calculés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9652A7" w:rsidRPr="009652A7" w:rsidTr="009652A7">
        <w:trPr>
          <w:trHeight w:val="2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9652A7" w:rsidRPr="009652A7" w:rsidRDefault="009652A7" w:rsidP="009652A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52A7" w:rsidRPr="009652A7" w:rsidRDefault="009652A7" w:rsidP="009652A7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9652A7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</w:tbl>
    <w:p w:rsidR="009652A7" w:rsidRDefault="009652A7"/>
    <w:sectPr w:rsidR="009652A7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652A7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652A7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2010-04-20T17:54:00Z</dcterms:created>
  <dcterms:modified xsi:type="dcterms:W3CDTF">2010-04-20T17:55:00Z</dcterms:modified>
</cp:coreProperties>
</file>