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4B5AE9" w:rsidRDefault="004B5AE9"/>
    <w:p w:rsidR="004B5AE9" w:rsidRDefault="004B5AE9"/>
    <w:p w:rsidR="004B5AE9" w:rsidRDefault="004B5AE9"/>
    <w:p w:rsidR="004B5AE9" w:rsidRDefault="004B5AE9"/>
    <w:p w:rsidR="004B5AE9" w:rsidRDefault="004B5AE9"/>
    <w:p w:rsidR="004B5AE9" w:rsidRDefault="004B5AE9"/>
    <w:p w:rsidR="004B5AE9" w:rsidRDefault="004B5AE9"/>
    <w:p w:rsidR="004B5AE9" w:rsidRDefault="004B5AE9"/>
    <w:p w:rsidR="004B5AE9" w:rsidRDefault="004B5AE9"/>
    <w:tbl>
      <w:tblPr>
        <w:tblW w:w="8378" w:type="dxa"/>
        <w:jc w:val="center"/>
        <w:tblCellMar>
          <w:left w:w="70" w:type="dxa"/>
          <w:right w:w="70" w:type="dxa"/>
        </w:tblCellMar>
        <w:tblLook w:val="04A0"/>
      </w:tblPr>
      <w:tblGrid>
        <w:gridCol w:w="1869"/>
        <w:gridCol w:w="277"/>
        <w:gridCol w:w="1802"/>
        <w:gridCol w:w="220"/>
        <w:gridCol w:w="2483"/>
        <w:gridCol w:w="1802"/>
      </w:tblGrid>
      <w:tr w:rsidR="004B5AE9" w:rsidRPr="004B5AE9" w:rsidTr="004B5AE9">
        <w:trPr>
          <w:trHeight w:val="330"/>
          <w:jc w:val="center"/>
        </w:trPr>
        <w:tc>
          <w:tcPr>
            <w:tcW w:w="83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SA ORS - Calcul de l'Excédent de Trésorerie d'Exploitation (ETE)</w:t>
            </w:r>
          </w:p>
        </w:tc>
      </w:tr>
      <w:tr w:rsidR="004B5AE9" w:rsidRPr="004B5AE9" w:rsidTr="004B5AE9">
        <w:trPr>
          <w:trHeight w:val="330"/>
          <w:jc w:val="center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ETE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EBE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 xml:space="preserve"> Variation BFRE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4B5AE9" w:rsidRPr="004B5AE9" w:rsidTr="004B5AE9">
        <w:trPr>
          <w:trHeight w:val="33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ETE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30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30"/>
          <w:jc w:val="center"/>
        </w:trPr>
        <w:tc>
          <w:tcPr>
            <w:tcW w:w="83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SA ORS - Affectation de l'Excédent de Trésorerie d'Exploitation (ETE)</w:t>
            </w:r>
          </w:p>
        </w:tc>
      </w:tr>
      <w:tr w:rsidR="004B5AE9" w:rsidRPr="004B5AE9" w:rsidTr="004B5AE9">
        <w:trPr>
          <w:trHeight w:val="315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Charges financières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15"/>
          <w:jc w:val="center"/>
        </w:trPr>
        <w:tc>
          <w:tcPr>
            <w:tcW w:w="21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Impôts sur bénéfices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15"/>
          <w:jc w:val="center"/>
        </w:trPr>
        <w:tc>
          <w:tcPr>
            <w:tcW w:w="39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Remboursement d'emprunts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1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Dividendes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30"/>
          <w:jc w:val="center"/>
        </w:trPr>
        <w:tc>
          <w:tcPr>
            <w:tcW w:w="39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Acquisitions d'immobilisations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4B5AE9" w:rsidRPr="004B5AE9" w:rsidTr="004B5AE9">
        <w:trPr>
          <w:trHeight w:val="330"/>
          <w:jc w:val="center"/>
        </w:trPr>
        <w:tc>
          <w:tcPr>
            <w:tcW w:w="6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4B5AE9" w:rsidRPr="004B5AE9" w:rsidRDefault="004B5AE9" w:rsidP="004B5AE9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B5AE9">
              <w:rPr>
                <w:rFonts w:eastAsia="Times New Roman"/>
                <w:b/>
                <w:bCs/>
                <w:szCs w:val="24"/>
                <w:lang w:eastAsia="fr-FR"/>
              </w:rPr>
              <w:t>Excédent de Trésorerie d'Exploitation (ETE)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5AE9" w:rsidRPr="004B5AE9" w:rsidRDefault="004B5AE9" w:rsidP="004B5AE9">
            <w:pPr>
              <w:jc w:val="righ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</w:tbl>
    <w:p w:rsidR="004B5AE9" w:rsidRDefault="004B5AE9"/>
    <w:sectPr w:rsidR="004B5AE9" w:rsidSect="004B5AE9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B5AE9"/>
    <w:rsid w:val="000A02BC"/>
    <w:rsid w:val="00157E85"/>
    <w:rsid w:val="00170809"/>
    <w:rsid w:val="00207DBA"/>
    <w:rsid w:val="00272EB8"/>
    <w:rsid w:val="003C1285"/>
    <w:rsid w:val="004B5AE9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2010-04-13T19:12:00Z</dcterms:created>
  <dcterms:modified xsi:type="dcterms:W3CDTF">2010-04-13T19:14:00Z</dcterms:modified>
</cp:coreProperties>
</file>