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BC1621" w:rsidRPr="005E1764" w:rsidRDefault="00BC1621" w:rsidP="00BC1621">
      <w:pPr>
        <w:contextualSpacing/>
        <w:jc w:val="center"/>
        <w:rPr>
          <w:bCs/>
          <w:snapToGrid w:val="0"/>
          <w:szCs w:val="24"/>
        </w:rPr>
      </w:pPr>
      <w:bookmarkStart w:id="0" w:name="_Toc322871113"/>
      <w:r>
        <w:rPr>
          <w:bCs/>
          <w:snapToGrid w:val="0"/>
          <w:szCs w:val="24"/>
        </w:rPr>
        <w:t>ANNEXE 4</w:t>
      </w:r>
    </w:p>
    <w:p w:rsidR="00C571A6" w:rsidRDefault="00C571A6" w:rsidP="00C571A6"/>
    <w:tbl>
      <w:tblPr>
        <w:tblW w:w="9662" w:type="dxa"/>
        <w:jc w:val="center"/>
        <w:tblCellMar>
          <w:left w:w="70" w:type="dxa"/>
          <w:right w:w="70" w:type="dxa"/>
        </w:tblCellMar>
        <w:tblLook w:val="04A0"/>
      </w:tblPr>
      <w:tblGrid>
        <w:gridCol w:w="7948"/>
        <w:gridCol w:w="1714"/>
      </w:tblGrid>
      <w:tr w:rsidR="005323A6" w:rsidRPr="005323A6" w:rsidTr="00492F8A">
        <w:trPr>
          <w:trHeight w:val="273"/>
          <w:jc w:val="center"/>
        </w:trPr>
        <w:tc>
          <w:tcPr>
            <w:tcW w:w="9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Entreprise GOUJON - TABLEAU DES FLUX DE TRESORERIE AU 31/12/N</w:t>
            </w: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Flux de trésorerie liés à l'activité</w:t>
            </w:r>
          </w:p>
        </w:tc>
        <w:tc>
          <w:tcPr>
            <w:tcW w:w="17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center"/>
              <w:rPr>
                <w:bCs/>
                <w:sz w:val="20"/>
                <w:lang w:eastAsia="fr-FR"/>
              </w:rPr>
            </w:pPr>
            <w:r w:rsidRPr="005323A6">
              <w:rPr>
                <w:bCs/>
                <w:sz w:val="20"/>
                <w:lang w:eastAsia="fr-FR"/>
              </w:rPr>
              <w:t>Exercice N</w:t>
            </w: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Résultat d'exploitation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Elimination des charges et produits sans incidence sur la trésorerie ou non liés à l'activité: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Amortissements, dépréciations et provisions (1)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Transferts de charges au compte de charges à répartir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Résultat brut d'exploitation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Moins: Variation du besoin en fonds de roulement d'exploitation (2)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  Stocks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  Créances d'exploitation et acomptes versés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  Dettes d'exploitation et acomptes reçus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Flux net de trésorerie d'exploitation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Autres encaissements et décaissements liés à l'activité: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Frais financiers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Produits financiers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</w:t>
            </w:r>
            <w:r>
              <w:rPr>
                <w:b w:val="0"/>
                <w:szCs w:val="24"/>
                <w:lang w:eastAsia="fr-FR"/>
              </w:rPr>
              <w:t>Impôt sur les sociétés</w:t>
            </w:r>
            <w:r w:rsidRPr="005323A6">
              <w:rPr>
                <w:b w:val="0"/>
                <w:szCs w:val="24"/>
                <w:lang w:eastAsia="fr-FR"/>
              </w:rPr>
              <w:t>, hors impôt sur les plus-values de cession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Charges et produits exceptionnels liés à l'activité (3)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Autres créances liées à l'activité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 Autres dettes liées à l'activité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 xml:space="preserve">  Flux net de trésorerie généré par l'activité (A)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Flux de trésorerie liés aux opérations d'investissement 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Acquisitions d'immobilisations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Cession d'immobilisations, nettes d'impôts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 Réduction  d'immobilisations financières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Variation des dettes et créances sur immobilisations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Flux net de trésorerie lié aux opérations d'investissement (B)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Flux de trésorerie liés aux opérations de financement :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Dividendes versés aux actionnaires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Incidence des variations de capital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Emissions d'emprunts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Remboursements d'emprunts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Subventions d'investissement reçues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 xml:space="preserve">Flux net de trésorerie lié aux opérations de financement </w:t>
            </w:r>
            <w:proofErr w:type="gramStart"/>
            <w:r w:rsidRPr="005323A6">
              <w:rPr>
                <w:bCs/>
                <w:szCs w:val="24"/>
                <w:lang w:eastAsia="fr-FR"/>
              </w:rPr>
              <w:t>( C</w:t>
            </w:r>
            <w:proofErr w:type="gramEnd"/>
            <w:r w:rsidRPr="005323A6">
              <w:rPr>
                <w:bCs/>
                <w:szCs w:val="24"/>
                <w:lang w:eastAsia="fr-FR"/>
              </w:rPr>
              <w:t xml:space="preserve"> 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Variation de trésorerie (A+B+C)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Trésorerie d'ouverture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 xml:space="preserve">Trésorerie de clôture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5323A6">
              <w:rPr>
                <w:bCs/>
                <w:szCs w:val="24"/>
                <w:lang w:eastAsia="fr-FR"/>
              </w:rPr>
              <w:t>Vérification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(1) A l'exclusion des dépréciations d'exploitation sur actif circulant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 w:val="20"/>
                <w:lang w:eastAsia="fr-FR"/>
              </w:rPr>
            </w:pPr>
          </w:p>
        </w:tc>
      </w:tr>
      <w:tr w:rsidR="005323A6" w:rsidRPr="005323A6" w:rsidTr="00492F8A">
        <w:trPr>
          <w:trHeight w:val="261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(2) A calculer en valeurs nettes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323A6">
              <w:rPr>
                <w:b w:val="0"/>
                <w:sz w:val="20"/>
                <w:lang w:eastAsia="fr-FR"/>
              </w:rPr>
              <w:t> </w:t>
            </w:r>
          </w:p>
        </w:tc>
      </w:tr>
      <w:tr w:rsidR="005323A6" w:rsidRPr="005323A6" w:rsidTr="00492F8A">
        <w:trPr>
          <w:trHeight w:val="273"/>
          <w:jc w:val="center"/>
        </w:trPr>
        <w:tc>
          <w:tcPr>
            <w:tcW w:w="79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323A6">
              <w:rPr>
                <w:b w:val="0"/>
                <w:szCs w:val="24"/>
                <w:lang w:eastAsia="fr-FR"/>
              </w:rPr>
              <w:t>(3) A l'exclusion des produits des cessions d'éléments d'actif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323A6" w:rsidRPr="005323A6" w:rsidRDefault="005323A6" w:rsidP="00492F8A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5323A6">
              <w:rPr>
                <w:b w:val="0"/>
                <w:sz w:val="20"/>
                <w:lang w:eastAsia="fr-FR"/>
              </w:rPr>
              <w:t> </w:t>
            </w:r>
          </w:p>
        </w:tc>
      </w:tr>
    </w:tbl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9D" w:rsidRDefault="00A4589D">
      <w:r>
        <w:separator/>
      </w:r>
    </w:p>
  </w:endnote>
  <w:endnote w:type="continuationSeparator" w:id="0">
    <w:p w:rsidR="00A4589D" w:rsidRDefault="00A4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Default="00492F8A" w:rsidP="00BC162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BC1621">
      <w:rPr>
        <w:iCs/>
        <w:sz w:val="18"/>
        <w:szCs w:val="18"/>
      </w:rPr>
      <w:t xml:space="preserve"> approfondi  - Daniel </w:t>
    </w:r>
    <w:proofErr w:type="spellStart"/>
    <w:r w:rsidR="00BC1621">
      <w:rPr>
        <w:iCs/>
        <w:sz w:val="18"/>
        <w:szCs w:val="18"/>
      </w:rPr>
      <w:t>Antraigue</w:t>
    </w:r>
    <w:proofErr w:type="spellEnd"/>
  </w:p>
  <w:p w:rsidR="00BC1621" w:rsidRPr="00BC1621" w:rsidRDefault="00BC1621" w:rsidP="00BC1621">
    <w:pPr>
      <w:pStyle w:val="Pieddepage"/>
      <w:rPr>
        <w:i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9D" w:rsidRDefault="00A4589D">
      <w:r>
        <w:separator/>
      </w:r>
    </w:p>
  </w:footnote>
  <w:footnote w:type="continuationSeparator" w:id="0">
    <w:p w:rsidR="00A4589D" w:rsidRDefault="00A45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06A4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036C6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1764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153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6F4878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4589D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C1621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2A84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47E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A859-C45C-49A2-8418-ED9B807C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/>
      <vt:lpstr/>
      <vt:lpstr>    </vt:lpstr>
      <vt:lpstr>    </vt:lpstr>
      <vt:lpstr>    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2007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2013-01-30T19:51:00Z</dcterms:created>
  <dcterms:modified xsi:type="dcterms:W3CDTF">2013-02-01T07:40:00Z</dcterms:modified>
  <cp:category>IEL</cp:category>
</cp:coreProperties>
</file>