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155CB">
        <w:rPr>
          <w:bCs/>
          <w:snapToGrid w:val="0"/>
          <w:color w:val="FF0000"/>
          <w:szCs w:val="24"/>
        </w:rPr>
        <w:t>9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155CB">
        <w:rPr>
          <w:bCs/>
          <w:snapToGrid w:val="0"/>
          <w:color w:val="FF0000"/>
          <w:szCs w:val="24"/>
        </w:rPr>
        <w:t>DENOI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3D96" w:rsidRDefault="00783D96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D5EB7" w:rsidRPr="00DD5EB7" w:rsidRDefault="00DD5EB7" w:rsidP="00DD5EB7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ANNEXE 2</w:t>
      </w:r>
    </w:p>
    <w:p w:rsidR="00DD5EB7" w:rsidRDefault="00DD5EB7" w:rsidP="00C12141"/>
    <w:tbl>
      <w:tblPr>
        <w:tblW w:w="98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709"/>
        <w:gridCol w:w="1566"/>
        <w:gridCol w:w="1535"/>
      </w:tblGrid>
      <w:tr w:rsidR="00B74705" w:rsidRPr="00B74705" w:rsidTr="00B74705">
        <w:trPr>
          <w:trHeight w:val="447"/>
          <w:jc w:val="center"/>
        </w:trPr>
        <w:tc>
          <w:tcPr>
            <w:tcW w:w="98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 xml:space="preserve">BESOIN EN FONDS DE ROULEMENT D’EXPLOITATION </w:t>
            </w:r>
            <w:r w:rsidRPr="00B74705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B74705" w:rsidRPr="00B74705" w:rsidTr="00B74705">
        <w:trPr>
          <w:trHeight w:val="426"/>
          <w:jc w:val="center"/>
        </w:trPr>
        <w:tc>
          <w:tcPr>
            <w:tcW w:w="4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 xml:space="preserve">Coefficients </w:t>
            </w: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Besoins</w:t>
            </w: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Situation actuelle</w:t>
            </w: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France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Export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74705" w:rsidRPr="00B74705" w:rsidRDefault="00513C87" w:rsidP="00513C87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  <w:t xml:space="preserve">      </w:t>
            </w:r>
            <w:r w:rsidR="00B74705" w:rsidRPr="00B74705">
              <w:rPr>
                <w:bCs/>
                <w:szCs w:val="24"/>
                <w:lang w:eastAsia="fr-FR"/>
              </w:rPr>
              <w:t>BFRE actuel en jours de chiffre d'affaires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Situation prévue</w:t>
            </w:r>
          </w:p>
        </w:tc>
      </w:tr>
      <w:tr w:rsidR="00B74705" w:rsidRPr="00B74705" w:rsidTr="00DD5EB7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France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DD5EB7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Export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74705" w:rsidRPr="00B74705" w:rsidRDefault="00B74705" w:rsidP="00B74705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Cs/>
                <w:szCs w:val="24"/>
                <w:lang w:eastAsia="fr-FR"/>
              </w:rPr>
              <w:t>BFRE modifié en jours de 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Diminution du BFRE en jours de chiffre d'affaires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Chiffre d'affaires par jour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2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Diminution du BFRE en valeur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Amélioration de la trésorerie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B74705" w:rsidRDefault="00B74705" w:rsidP="00C12141"/>
    <w:sectPr w:rsidR="00B74705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30" w:rsidRDefault="00616830">
      <w:r>
        <w:separator/>
      </w:r>
    </w:p>
  </w:endnote>
  <w:endnote w:type="continuationSeparator" w:id="0">
    <w:p w:rsidR="00616830" w:rsidRDefault="0061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F9193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F9193F" w:rsidRPr="006156A7">
      <w:rPr>
        <w:rStyle w:val="Numrodepage"/>
        <w:iCs/>
        <w:sz w:val="18"/>
        <w:szCs w:val="18"/>
      </w:rPr>
      <w:fldChar w:fldCharType="separate"/>
    </w:r>
    <w:r w:rsidR="00783D96">
      <w:rPr>
        <w:rStyle w:val="Numrodepage"/>
        <w:iCs/>
        <w:noProof/>
        <w:sz w:val="18"/>
        <w:szCs w:val="18"/>
      </w:rPr>
      <w:t>2</w:t>
    </w:r>
    <w:r w:rsidR="00F9193F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F9193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F9193F" w:rsidRPr="006156A7">
      <w:rPr>
        <w:rStyle w:val="Numrodepage"/>
        <w:iCs/>
        <w:sz w:val="18"/>
        <w:szCs w:val="18"/>
      </w:rPr>
      <w:fldChar w:fldCharType="separate"/>
    </w:r>
    <w:r w:rsidR="00783D96">
      <w:rPr>
        <w:rStyle w:val="Numrodepage"/>
        <w:iCs/>
        <w:noProof/>
        <w:sz w:val="18"/>
        <w:szCs w:val="18"/>
      </w:rPr>
      <w:t>3</w:t>
    </w:r>
    <w:r w:rsidR="00F9193F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F9193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F9193F" w:rsidRPr="0031680C">
      <w:rPr>
        <w:rStyle w:val="Numrodepage"/>
        <w:iCs/>
        <w:sz w:val="18"/>
        <w:szCs w:val="18"/>
      </w:rPr>
      <w:fldChar w:fldCharType="separate"/>
    </w:r>
    <w:r w:rsidR="00783D96">
      <w:rPr>
        <w:rStyle w:val="Numrodepage"/>
        <w:iCs/>
        <w:noProof/>
        <w:sz w:val="18"/>
        <w:szCs w:val="18"/>
      </w:rPr>
      <w:t>1</w:t>
    </w:r>
    <w:r w:rsidR="00F9193F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F9193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F9193F" w:rsidRPr="0031680C">
      <w:rPr>
        <w:rStyle w:val="Numrodepage"/>
        <w:iCs/>
        <w:sz w:val="18"/>
        <w:szCs w:val="18"/>
      </w:rPr>
      <w:fldChar w:fldCharType="separate"/>
    </w:r>
    <w:r w:rsidR="00783D96">
      <w:rPr>
        <w:rStyle w:val="Numrodepage"/>
        <w:iCs/>
        <w:noProof/>
        <w:sz w:val="18"/>
        <w:szCs w:val="18"/>
      </w:rPr>
      <w:t>1</w:t>
    </w:r>
    <w:r w:rsidR="00F9193F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30" w:rsidRDefault="00616830">
      <w:r>
        <w:separator/>
      </w:r>
    </w:p>
  </w:footnote>
  <w:footnote w:type="continuationSeparator" w:id="0">
    <w:p w:rsidR="00616830" w:rsidRDefault="00616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2152"/>
    <w:multiLevelType w:val="hybridMultilevel"/>
    <w:tmpl w:val="1EB0A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63D"/>
    <w:multiLevelType w:val="hybridMultilevel"/>
    <w:tmpl w:val="2848B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6FEF"/>
    <w:multiLevelType w:val="hybridMultilevel"/>
    <w:tmpl w:val="C868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4C6C"/>
    <w:multiLevelType w:val="hybridMultilevel"/>
    <w:tmpl w:val="1DE4291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D03D9"/>
    <w:multiLevelType w:val="hybridMultilevel"/>
    <w:tmpl w:val="AF8C364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3895664F"/>
    <w:multiLevelType w:val="hybridMultilevel"/>
    <w:tmpl w:val="A1F49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20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16BA"/>
    <w:multiLevelType w:val="hybridMultilevel"/>
    <w:tmpl w:val="263C53C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71B0B"/>
    <w:multiLevelType w:val="hybridMultilevel"/>
    <w:tmpl w:val="0C183F3A"/>
    <w:lvl w:ilvl="0" w:tplc="1826EF2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0937084"/>
    <w:multiLevelType w:val="hybridMultilevel"/>
    <w:tmpl w:val="86922A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3B04DD"/>
    <w:multiLevelType w:val="hybridMultilevel"/>
    <w:tmpl w:val="021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106760"/>
    <w:multiLevelType w:val="hybridMultilevel"/>
    <w:tmpl w:val="033EDC6A"/>
    <w:lvl w:ilvl="0" w:tplc="F6B881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7F10AF9"/>
    <w:multiLevelType w:val="hybridMultilevel"/>
    <w:tmpl w:val="51EEA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41AF7"/>
    <w:multiLevelType w:val="hybridMultilevel"/>
    <w:tmpl w:val="6DB6685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003BC"/>
    <w:multiLevelType w:val="hybridMultilevel"/>
    <w:tmpl w:val="E22C5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D20719"/>
    <w:multiLevelType w:val="hybridMultilevel"/>
    <w:tmpl w:val="EDE2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4">
    <w:nsid w:val="6FB25F60"/>
    <w:multiLevelType w:val="hybridMultilevel"/>
    <w:tmpl w:val="F5C29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C1739"/>
    <w:multiLevelType w:val="hybridMultilevel"/>
    <w:tmpl w:val="3580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47"/>
  </w:num>
  <w:num w:numId="4">
    <w:abstractNumId w:val="22"/>
  </w:num>
  <w:num w:numId="5">
    <w:abstractNumId w:val="43"/>
  </w:num>
  <w:num w:numId="6">
    <w:abstractNumId w:val="17"/>
  </w:num>
  <w:num w:numId="7">
    <w:abstractNumId w:val="14"/>
  </w:num>
  <w:num w:numId="8">
    <w:abstractNumId w:val="26"/>
  </w:num>
  <w:num w:numId="9">
    <w:abstractNumId w:val="38"/>
  </w:num>
  <w:num w:numId="10">
    <w:abstractNumId w:val="1"/>
  </w:num>
  <w:num w:numId="11">
    <w:abstractNumId w:val="25"/>
  </w:num>
  <w:num w:numId="12">
    <w:abstractNumId w:val="19"/>
  </w:num>
  <w:num w:numId="13">
    <w:abstractNumId w:val="2"/>
  </w:num>
  <w:num w:numId="14">
    <w:abstractNumId w:val="30"/>
  </w:num>
  <w:num w:numId="15">
    <w:abstractNumId w:val="35"/>
  </w:num>
  <w:num w:numId="16">
    <w:abstractNumId w:val="23"/>
  </w:num>
  <w:num w:numId="17">
    <w:abstractNumId w:val="20"/>
  </w:num>
  <w:num w:numId="18">
    <w:abstractNumId w:val="42"/>
  </w:num>
  <w:num w:numId="19">
    <w:abstractNumId w:val="24"/>
  </w:num>
  <w:num w:numId="20">
    <w:abstractNumId w:val="37"/>
  </w:num>
  <w:num w:numId="21">
    <w:abstractNumId w:val="4"/>
  </w:num>
  <w:num w:numId="22">
    <w:abstractNumId w:val="45"/>
  </w:num>
  <w:num w:numId="23">
    <w:abstractNumId w:val="33"/>
  </w:num>
  <w:num w:numId="24">
    <w:abstractNumId w:val="6"/>
  </w:num>
  <w:num w:numId="25">
    <w:abstractNumId w:val="11"/>
  </w:num>
  <w:num w:numId="26">
    <w:abstractNumId w:val="8"/>
  </w:num>
  <w:num w:numId="27">
    <w:abstractNumId w:val="48"/>
  </w:num>
  <w:num w:numId="28">
    <w:abstractNumId w:val="7"/>
  </w:num>
  <w:num w:numId="29">
    <w:abstractNumId w:val="34"/>
  </w:num>
  <w:num w:numId="30">
    <w:abstractNumId w:val="46"/>
  </w:num>
  <w:num w:numId="31">
    <w:abstractNumId w:val="31"/>
  </w:num>
  <w:num w:numId="32">
    <w:abstractNumId w:val="39"/>
  </w:num>
  <w:num w:numId="33">
    <w:abstractNumId w:val="27"/>
  </w:num>
  <w:num w:numId="34">
    <w:abstractNumId w:val="18"/>
  </w:num>
  <w:num w:numId="35">
    <w:abstractNumId w:val="3"/>
  </w:num>
  <w:num w:numId="36">
    <w:abstractNumId w:val="29"/>
  </w:num>
  <w:num w:numId="37">
    <w:abstractNumId w:val="9"/>
  </w:num>
  <w:num w:numId="38">
    <w:abstractNumId w:val="5"/>
  </w:num>
  <w:num w:numId="39">
    <w:abstractNumId w:val="41"/>
  </w:num>
  <w:num w:numId="40">
    <w:abstractNumId w:val="15"/>
  </w:num>
  <w:num w:numId="41">
    <w:abstractNumId w:val="44"/>
  </w:num>
  <w:num w:numId="42">
    <w:abstractNumId w:val="36"/>
  </w:num>
  <w:num w:numId="43">
    <w:abstractNumId w:val="28"/>
  </w:num>
  <w:num w:numId="44">
    <w:abstractNumId w:val="12"/>
  </w:num>
  <w:num w:numId="45">
    <w:abstractNumId w:val="21"/>
  </w:num>
  <w:num w:numId="46">
    <w:abstractNumId w:val="10"/>
  </w:num>
  <w:num w:numId="47">
    <w:abstractNumId w:val="32"/>
  </w:num>
  <w:num w:numId="48">
    <w:abstractNumId w:val="16"/>
  </w:num>
  <w:num w:numId="49">
    <w:abstractNumId w:val="13"/>
  </w:num>
  <w:num w:numId="50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865DD"/>
    <w:rsid w:val="001A241A"/>
    <w:rsid w:val="001A6769"/>
    <w:rsid w:val="001B3615"/>
    <w:rsid w:val="001C04D5"/>
    <w:rsid w:val="001C4DAB"/>
    <w:rsid w:val="001C6C1A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0A8B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46E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13C87"/>
    <w:rsid w:val="005155CB"/>
    <w:rsid w:val="005204B8"/>
    <w:rsid w:val="00522451"/>
    <w:rsid w:val="0054185D"/>
    <w:rsid w:val="00555511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C5A0D"/>
    <w:rsid w:val="005C7677"/>
    <w:rsid w:val="005E26A0"/>
    <w:rsid w:val="005E7660"/>
    <w:rsid w:val="005E775C"/>
    <w:rsid w:val="006113FB"/>
    <w:rsid w:val="006156A7"/>
    <w:rsid w:val="00616830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3D96"/>
    <w:rsid w:val="007856D2"/>
    <w:rsid w:val="00785B54"/>
    <w:rsid w:val="00795355"/>
    <w:rsid w:val="0079654A"/>
    <w:rsid w:val="007A23C2"/>
    <w:rsid w:val="007B3817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B7144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A622B"/>
    <w:rsid w:val="009B554F"/>
    <w:rsid w:val="009B6CD7"/>
    <w:rsid w:val="009D0C96"/>
    <w:rsid w:val="009D6A4A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74705"/>
    <w:rsid w:val="00B82544"/>
    <w:rsid w:val="00B84C3C"/>
    <w:rsid w:val="00B907E6"/>
    <w:rsid w:val="00B91602"/>
    <w:rsid w:val="00B9548B"/>
    <w:rsid w:val="00BA0196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5B7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37865"/>
    <w:rsid w:val="00D4550A"/>
    <w:rsid w:val="00D45D02"/>
    <w:rsid w:val="00D52219"/>
    <w:rsid w:val="00D9655D"/>
    <w:rsid w:val="00DA7F82"/>
    <w:rsid w:val="00DB6FF0"/>
    <w:rsid w:val="00DC4ADC"/>
    <w:rsid w:val="00DC6BBA"/>
    <w:rsid w:val="00DD017F"/>
    <w:rsid w:val="00DD2751"/>
    <w:rsid w:val="00DD5947"/>
    <w:rsid w:val="00DD5EB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EF119F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193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F106-96BC-4AFF-BC2B-A4C7013E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689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2012-05-18T11:27:00Z</dcterms:created>
  <dcterms:modified xsi:type="dcterms:W3CDTF">2012-05-18T11:30:00Z</dcterms:modified>
  <cp:category>IEL</cp:category>
</cp:coreProperties>
</file>