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848" w:rsidRDefault="00F3551C" w:rsidP="00F3551C">
      <w:pPr>
        <w:jc w:val="center"/>
        <w:rPr>
          <w:b/>
          <w:color w:val="FF0000"/>
        </w:rPr>
      </w:pPr>
      <w:r>
        <w:rPr>
          <w:b/>
          <w:color w:val="FF0000"/>
        </w:rPr>
        <w:t>FIN-INTER-01</w:t>
      </w:r>
    </w:p>
    <w:p w:rsidR="00F3551C" w:rsidRPr="00F3551C" w:rsidRDefault="00F3551C" w:rsidP="00F3551C">
      <w:pPr>
        <w:jc w:val="center"/>
        <w:rPr>
          <w:b/>
          <w:color w:val="FF0000"/>
        </w:rPr>
      </w:pPr>
      <w:r>
        <w:rPr>
          <w:b/>
          <w:color w:val="FF0000"/>
        </w:rPr>
        <w:t>LE CONTEXTE</w:t>
      </w:r>
    </w:p>
    <w:p w:rsidR="00F3551C" w:rsidRDefault="00F3551C"/>
    <w:p w:rsidR="008E1843" w:rsidRDefault="008E1843" w:rsidP="008E1843"/>
    <w:p w:rsidR="008E1843" w:rsidRPr="008E1843" w:rsidRDefault="008E1843" w:rsidP="008E1843">
      <w:pPr>
        <w:numPr>
          <w:ilvl w:val="0"/>
          <w:numId w:val="3"/>
        </w:numPr>
        <w:tabs>
          <w:tab w:val="clear" w:pos="720"/>
          <w:tab w:val="num" w:pos="360"/>
        </w:tabs>
        <w:ind w:left="360"/>
        <w:rPr>
          <w:rFonts w:eastAsia="Times New Roman"/>
          <w:b/>
          <w:bCs/>
          <w:color w:val="008000"/>
          <w:szCs w:val="24"/>
          <w:lang w:eastAsia="fr-FR"/>
        </w:rPr>
      </w:pPr>
      <w:r w:rsidRPr="008E1843">
        <w:rPr>
          <w:rFonts w:eastAsia="Times New Roman"/>
          <w:b/>
          <w:bCs/>
          <w:color w:val="008000"/>
          <w:szCs w:val="24"/>
          <w:lang w:eastAsia="fr-FR"/>
        </w:rPr>
        <w:t xml:space="preserve">Public concerné : Etudiants niveau Bac + 2. </w:t>
      </w:r>
    </w:p>
    <w:p w:rsidR="008E1843" w:rsidRPr="008E1843" w:rsidRDefault="008E1843" w:rsidP="008E1843">
      <w:pPr>
        <w:numPr>
          <w:ilvl w:val="0"/>
          <w:numId w:val="4"/>
        </w:numPr>
        <w:tabs>
          <w:tab w:val="clear" w:pos="720"/>
          <w:tab w:val="num" w:pos="360"/>
        </w:tabs>
        <w:spacing w:before="120"/>
        <w:ind w:left="357" w:hanging="357"/>
        <w:rPr>
          <w:rFonts w:eastAsia="Times New Roman"/>
          <w:b/>
          <w:bCs/>
          <w:color w:val="008000"/>
          <w:szCs w:val="24"/>
          <w:lang w:eastAsia="fr-FR"/>
        </w:rPr>
      </w:pPr>
      <w:r w:rsidRPr="008E1843">
        <w:rPr>
          <w:rFonts w:eastAsia="Times New Roman"/>
          <w:b/>
          <w:bCs/>
          <w:color w:val="008000"/>
          <w:szCs w:val="24"/>
          <w:lang w:eastAsia="fr-FR"/>
        </w:rPr>
        <w:t xml:space="preserve">Durée indicative : 2 heures </w:t>
      </w:r>
    </w:p>
    <w:p w:rsidR="008E1843" w:rsidRPr="008E1843" w:rsidRDefault="008E1843" w:rsidP="008E1843">
      <w:pPr>
        <w:numPr>
          <w:ilvl w:val="0"/>
          <w:numId w:val="5"/>
        </w:numPr>
        <w:tabs>
          <w:tab w:val="clear" w:pos="720"/>
          <w:tab w:val="num" w:pos="360"/>
        </w:tabs>
        <w:spacing w:before="120"/>
        <w:ind w:left="357" w:hanging="357"/>
        <w:rPr>
          <w:rFonts w:eastAsia="Times New Roman"/>
          <w:b/>
          <w:bCs/>
          <w:color w:val="008000"/>
          <w:szCs w:val="24"/>
          <w:lang w:eastAsia="fr-FR"/>
        </w:rPr>
      </w:pPr>
      <w:r w:rsidRPr="008E1843">
        <w:rPr>
          <w:rFonts w:eastAsia="Times New Roman"/>
          <w:b/>
          <w:bCs/>
          <w:color w:val="008000"/>
          <w:szCs w:val="24"/>
          <w:lang w:eastAsia="fr-FR"/>
        </w:rPr>
        <w:t xml:space="preserve">Objectifs : Positionner le domaine de la finance internationale dans son contexte. </w:t>
      </w:r>
    </w:p>
    <w:p w:rsidR="008E1843" w:rsidRPr="008E1843" w:rsidRDefault="008E1843" w:rsidP="008E1843">
      <w:pPr>
        <w:numPr>
          <w:ilvl w:val="0"/>
          <w:numId w:val="6"/>
        </w:numPr>
        <w:tabs>
          <w:tab w:val="clear" w:pos="720"/>
          <w:tab w:val="num" w:pos="360"/>
        </w:tabs>
        <w:spacing w:before="120"/>
        <w:ind w:left="357" w:hanging="357"/>
        <w:rPr>
          <w:rFonts w:eastAsia="Times New Roman"/>
          <w:b/>
          <w:bCs/>
          <w:color w:val="008000"/>
          <w:szCs w:val="24"/>
          <w:lang w:eastAsia="fr-FR"/>
        </w:rPr>
      </w:pPr>
      <w:r w:rsidRPr="008E1843">
        <w:rPr>
          <w:rFonts w:eastAsia="Times New Roman"/>
          <w:b/>
          <w:bCs/>
          <w:color w:val="008000"/>
          <w:szCs w:val="24"/>
          <w:lang w:eastAsia="fr-FR"/>
        </w:rPr>
        <w:t xml:space="preserve">Pré requis : Néant. </w:t>
      </w:r>
    </w:p>
    <w:p w:rsidR="008E1843" w:rsidRPr="008E1843" w:rsidRDefault="008E1843" w:rsidP="008E1843">
      <w:pPr>
        <w:numPr>
          <w:ilvl w:val="0"/>
          <w:numId w:val="7"/>
        </w:numPr>
        <w:tabs>
          <w:tab w:val="clear" w:pos="720"/>
          <w:tab w:val="num" w:pos="360"/>
        </w:tabs>
        <w:spacing w:before="120"/>
        <w:ind w:left="357" w:hanging="357"/>
        <w:rPr>
          <w:rFonts w:eastAsia="Times New Roman"/>
          <w:b/>
          <w:bCs/>
          <w:color w:val="008000"/>
          <w:szCs w:val="24"/>
          <w:lang w:eastAsia="fr-FR"/>
        </w:rPr>
      </w:pPr>
      <w:r w:rsidRPr="008E1843">
        <w:rPr>
          <w:rFonts w:eastAsia="Times New Roman"/>
          <w:b/>
          <w:bCs/>
          <w:color w:val="008000"/>
          <w:szCs w:val="24"/>
          <w:lang w:eastAsia="fr-FR"/>
        </w:rPr>
        <w:t xml:space="preserve">Modalités : Exposé didactique des connaissances. </w:t>
      </w:r>
    </w:p>
    <w:p w:rsidR="008E1843" w:rsidRDefault="008E1843" w:rsidP="008E1843"/>
    <w:p w:rsidR="008E1843" w:rsidRDefault="008E1843" w:rsidP="008E1843"/>
    <w:p w:rsidR="002E531E" w:rsidRDefault="002E531E" w:rsidP="008E1843"/>
    <w:p w:rsidR="008E1843" w:rsidRPr="008E1843" w:rsidRDefault="008E1843" w:rsidP="008E1843">
      <w:pPr>
        <w:jc w:val="center"/>
        <w:rPr>
          <w:b/>
        </w:rPr>
      </w:pPr>
      <w:r>
        <w:rPr>
          <w:b/>
        </w:rPr>
        <w:t>TABLE DES MATIERES</w:t>
      </w:r>
    </w:p>
    <w:p w:rsidR="008E1843" w:rsidRDefault="008E1843" w:rsidP="008E1843"/>
    <w:sdt>
      <w:sdtPr>
        <w:rPr>
          <w:rFonts w:eastAsia="Calibri"/>
          <w:b w:val="0"/>
          <w:szCs w:val="22"/>
          <w:lang w:eastAsia="en-US"/>
        </w:rPr>
        <w:id w:val="4862969"/>
        <w:docPartObj>
          <w:docPartGallery w:val="Table of Contents"/>
          <w:docPartUnique/>
        </w:docPartObj>
      </w:sdtPr>
      <w:sdtContent>
        <w:p w:rsidR="00342E4D" w:rsidRDefault="0020410F">
          <w:pPr>
            <w:pStyle w:val="TM1"/>
            <w:tabs>
              <w:tab w:val="right" w:leader="dot" w:pos="9629"/>
            </w:tabs>
            <w:rPr>
              <w:rFonts w:asciiTheme="minorHAnsi" w:eastAsiaTheme="minorEastAsia" w:hAnsiTheme="minorHAnsi" w:cstheme="minorBidi"/>
              <w:b w:val="0"/>
              <w:noProof/>
              <w:sz w:val="22"/>
              <w:szCs w:val="22"/>
            </w:rPr>
          </w:pPr>
          <w:r w:rsidRPr="0020410F">
            <w:fldChar w:fldCharType="begin"/>
          </w:r>
          <w:r w:rsidR="002E531E">
            <w:instrText xml:space="preserve"> TOC \o "1-3" \h \z \u </w:instrText>
          </w:r>
          <w:r w:rsidRPr="0020410F">
            <w:fldChar w:fldCharType="separate"/>
          </w:r>
          <w:hyperlink w:anchor="_Toc211329650" w:history="1">
            <w:r w:rsidR="00342E4D" w:rsidRPr="00C912C3">
              <w:rPr>
                <w:rStyle w:val="Lienhypertexte"/>
                <w:noProof/>
              </w:rPr>
              <w:t>1. La mondialisation.</w:t>
            </w:r>
            <w:r w:rsidR="00342E4D">
              <w:rPr>
                <w:noProof/>
                <w:webHidden/>
              </w:rPr>
              <w:tab/>
            </w:r>
            <w:r w:rsidR="00342E4D">
              <w:rPr>
                <w:noProof/>
                <w:webHidden/>
              </w:rPr>
              <w:fldChar w:fldCharType="begin"/>
            </w:r>
            <w:r w:rsidR="00342E4D">
              <w:rPr>
                <w:noProof/>
                <w:webHidden/>
              </w:rPr>
              <w:instrText xml:space="preserve"> PAGEREF _Toc211329650 \h </w:instrText>
            </w:r>
            <w:r w:rsidR="00342E4D">
              <w:rPr>
                <w:noProof/>
                <w:webHidden/>
              </w:rPr>
            </w:r>
            <w:r w:rsidR="00342E4D">
              <w:rPr>
                <w:noProof/>
                <w:webHidden/>
              </w:rPr>
              <w:fldChar w:fldCharType="separate"/>
            </w:r>
            <w:r w:rsidR="00342E4D">
              <w:rPr>
                <w:noProof/>
                <w:webHidden/>
              </w:rPr>
              <w:t>2</w:t>
            </w:r>
            <w:r w:rsidR="00342E4D">
              <w:rPr>
                <w:noProof/>
                <w:webHidden/>
              </w:rPr>
              <w:fldChar w:fldCharType="end"/>
            </w:r>
          </w:hyperlink>
        </w:p>
        <w:p w:rsidR="00342E4D" w:rsidRDefault="00342E4D">
          <w:pPr>
            <w:pStyle w:val="TM1"/>
            <w:tabs>
              <w:tab w:val="right" w:leader="dot" w:pos="9629"/>
            </w:tabs>
            <w:rPr>
              <w:rFonts w:asciiTheme="minorHAnsi" w:eastAsiaTheme="minorEastAsia" w:hAnsiTheme="minorHAnsi" w:cstheme="minorBidi"/>
              <w:b w:val="0"/>
              <w:noProof/>
              <w:sz w:val="22"/>
              <w:szCs w:val="22"/>
            </w:rPr>
          </w:pPr>
          <w:hyperlink w:anchor="_Toc211329651" w:history="1">
            <w:r w:rsidRPr="00C912C3">
              <w:rPr>
                <w:rStyle w:val="Lienhypertexte"/>
                <w:noProof/>
              </w:rPr>
              <w:t>2. La dérèglementation des échanges.</w:t>
            </w:r>
            <w:r>
              <w:rPr>
                <w:noProof/>
                <w:webHidden/>
              </w:rPr>
              <w:tab/>
            </w:r>
            <w:r>
              <w:rPr>
                <w:noProof/>
                <w:webHidden/>
              </w:rPr>
              <w:fldChar w:fldCharType="begin"/>
            </w:r>
            <w:r>
              <w:rPr>
                <w:noProof/>
                <w:webHidden/>
              </w:rPr>
              <w:instrText xml:space="preserve"> PAGEREF _Toc211329651 \h </w:instrText>
            </w:r>
            <w:r>
              <w:rPr>
                <w:noProof/>
                <w:webHidden/>
              </w:rPr>
            </w:r>
            <w:r>
              <w:rPr>
                <w:noProof/>
                <w:webHidden/>
              </w:rPr>
              <w:fldChar w:fldCharType="separate"/>
            </w:r>
            <w:r>
              <w:rPr>
                <w:noProof/>
                <w:webHidden/>
              </w:rPr>
              <w:t>2</w:t>
            </w:r>
            <w:r>
              <w:rPr>
                <w:noProof/>
                <w:webHidden/>
              </w:rPr>
              <w:fldChar w:fldCharType="end"/>
            </w:r>
          </w:hyperlink>
        </w:p>
        <w:p w:rsidR="00342E4D" w:rsidRDefault="00342E4D">
          <w:pPr>
            <w:pStyle w:val="TM2"/>
            <w:tabs>
              <w:tab w:val="right" w:leader="dot" w:pos="9629"/>
            </w:tabs>
            <w:rPr>
              <w:rFonts w:asciiTheme="minorHAnsi" w:eastAsiaTheme="minorEastAsia" w:hAnsiTheme="minorHAnsi" w:cstheme="minorBidi"/>
              <w:b w:val="0"/>
              <w:noProof/>
              <w:sz w:val="22"/>
              <w:szCs w:val="22"/>
            </w:rPr>
          </w:pPr>
          <w:hyperlink w:anchor="_Toc211329652" w:history="1">
            <w:r w:rsidRPr="00C912C3">
              <w:rPr>
                <w:rStyle w:val="Lienhypertexte"/>
                <w:noProof/>
              </w:rPr>
              <w:t>2.1. L'action de l'OMC.</w:t>
            </w:r>
            <w:r>
              <w:rPr>
                <w:noProof/>
                <w:webHidden/>
              </w:rPr>
              <w:tab/>
            </w:r>
            <w:r>
              <w:rPr>
                <w:noProof/>
                <w:webHidden/>
              </w:rPr>
              <w:fldChar w:fldCharType="begin"/>
            </w:r>
            <w:r>
              <w:rPr>
                <w:noProof/>
                <w:webHidden/>
              </w:rPr>
              <w:instrText xml:space="preserve"> PAGEREF _Toc211329652 \h </w:instrText>
            </w:r>
            <w:r>
              <w:rPr>
                <w:noProof/>
                <w:webHidden/>
              </w:rPr>
            </w:r>
            <w:r>
              <w:rPr>
                <w:noProof/>
                <w:webHidden/>
              </w:rPr>
              <w:fldChar w:fldCharType="separate"/>
            </w:r>
            <w:r>
              <w:rPr>
                <w:noProof/>
                <w:webHidden/>
              </w:rPr>
              <w:t>2</w:t>
            </w:r>
            <w:r>
              <w:rPr>
                <w:noProof/>
                <w:webHidden/>
              </w:rPr>
              <w:fldChar w:fldCharType="end"/>
            </w:r>
          </w:hyperlink>
        </w:p>
        <w:p w:rsidR="00342E4D" w:rsidRDefault="00342E4D">
          <w:pPr>
            <w:pStyle w:val="TM2"/>
            <w:tabs>
              <w:tab w:val="right" w:leader="dot" w:pos="9629"/>
            </w:tabs>
            <w:rPr>
              <w:rFonts w:asciiTheme="minorHAnsi" w:eastAsiaTheme="minorEastAsia" w:hAnsiTheme="minorHAnsi" w:cstheme="minorBidi"/>
              <w:b w:val="0"/>
              <w:noProof/>
              <w:sz w:val="22"/>
              <w:szCs w:val="22"/>
            </w:rPr>
          </w:pPr>
          <w:hyperlink w:anchor="_Toc211329653" w:history="1">
            <w:r w:rsidRPr="00C912C3">
              <w:rPr>
                <w:rStyle w:val="Lienhypertexte"/>
                <w:noProof/>
              </w:rPr>
              <w:t>2.2. Les conséquences des politiques libérales.</w:t>
            </w:r>
            <w:r>
              <w:rPr>
                <w:noProof/>
                <w:webHidden/>
              </w:rPr>
              <w:tab/>
            </w:r>
            <w:r>
              <w:rPr>
                <w:noProof/>
                <w:webHidden/>
              </w:rPr>
              <w:fldChar w:fldCharType="begin"/>
            </w:r>
            <w:r>
              <w:rPr>
                <w:noProof/>
                <w:webHidden/>
              </w:rPr>
              <w:instrText xml:space="preserve"> PAGEREF _Toc211329653 \h </w:instrText>
            </w:r>
            <w:r>
              <w:rPr>
                <w:noProof/>
                <w:webHidden/>
              </w:rPr>
            </w:r>
            <w:r>
              <w:rPr>
                <w:noProof/>
                <w:webHidden/>
              </w:rPr>
              <w:fldChar w:fldCharType="separate"/>
            </w:r>
            <w:r>
              <w:rPr>
                <w:noProof/>
                <w:webHidden/>
              </w:rPr>
              <w:t>3</w:t>
            </w:r>
            <w:r>
              <w:rPr>
                <w:noProof/>
                <w:webHidden/>
              </w:rPr>
              <w:fldChar w:fldCharType="end"/>
            </w:r>
          </w:hyperlink>
        </w:p>
        <w:p w:rsidR="00342E4D" w:rsidRDefault="00342E4D">
          <w:pPr>
            <w:pStyle w:val="TM2"/>
            <w:tabs>
              <w:tab w:val="right" w:leader="dot" w:pos="9629"/>
            </w:tabs>
            <w:rPr>
              <w:rFonts w:asciiTheme="minorHAnsi" w:eastAsiaTheme="minorEastAsia" w:hAnsiTheme="minorHAnsi" w:cstheme="minorBidi"/>
              <w:b w:val="0"/>
              <w:noProof/>
              <w:sz w:val="22"/>
              <w:szCs w:val="22"/>
            </w:rPr>
          </w:pPr>
          <w:hyperlink w:anchor="_Toc211329654" w:history="1">
            <w:r w:rsidRPr="00C912C3">
              <w:rPr>
                <w:rStyle w:val="Lienhypertexte"/>
                <w:noProof/>
              </w:rPr>
              <w:t>2.3. Le contrôle des changes.</w:t>
            </w:r>
            <w:r>
              <w:rPr>
                <w:noProof/>
                <w:webHidden/>
              </w:rPr>
              <w:tab/>
            </w:r>
            <w:r>
              <w:rPr>
                <w:noProof/>
                <w:webHidden/>
              </w:rPr>
              <w:fldChar w:fldCharType="begin"/>
            </w:r>
            <w:r>
              <w:rPr>
                <w:noProof/>
                <w:webHidden/>
              </w:rPr>
              <w:instrText xml:space="preserve"> PAGEREF _Toc211329654 \h </w:instrText>
            </w:r>
            <w:r>
              <w:rPr>
                <w:noProof/>
                <w:webHidden/>
              </w:rPr>
            </w:r>
            <w:r>
              <w:rPr>
                <w:noProof/>
                <w:webHidden/>
              </w:rPr>
              <w:fldChar w:fldCharType="separate"/>
            </w:r>
            <w:r>
              <w:rPr>
                <w:noProof/>
                <w:webHidden/>
              </w:rPr>
              <w:t>3</w:t>
            </w:r>
            <w:r>
              <w:rPr>
                <w:noProof/>
                <w:webHidden/>
              </w:rPr>
              <w:fldChar w:fldCharType="end"/>
            </w:r>
          </w:hyperlink>
        </w:p>
        <w:p w:rsidR="00342E4D" w:rsidRDefault="00342E4D">
          <w:pPr>
            <w:pStyle w:val="TM1"/>
            <w:tabs>
              <w:tab w:val="right" w:leader="dot" w:pos="9629"/>
            </w:tabs>
            <w:rPr>
              <w:rFonts w:asciiTheme="minorHAnsi" w:eastAsiaTheme="minorEastAsia" w:hAnsiTheme="minorHAnsi" w:cstheme="minorBidi"/>
              <w:b w:val="0"/>
              <w:noProof/>
              <w:sz w:val="22"/>
              <w:szCs w:val="22"/>
            </w:rPr>
          </w:pPr>
          <w:hyperlink w:anchor="_Toc211329655" w:history="1">
            <w:r w:rsidRPr="00C912C3">
              <w:rPr>
                <w:rStyle w:val="Lienhypertexte"/>
                <w:noProof/>
              </w:rPr>
              <w:t>3. La diffusion de l'information.</w:t>
            </w:r>
            <w:r>
              <w:rPr>
                <w:noProof/>
                <w:webHidden/>
              </w:rPr>
              <w:tab/>
            </w:r>
            <w:r>
              <w:rPr>
                <w:noProof/>
                <w:webHidden/>
              </w:rPr>
              <w:fldChar w:fldCharType="begin"/>
            </w:r>
            <w:r>
              <w:rPr>
                <w:noProof/>
                <w:webHidden/>
              </w:rPr>
              <w:instrText xml:space="preserve"> PAGEREF _Toc211329655 \h </w:instrText>
            </w:r>
            <w:r>
              <w:rPr>
                <w:noProof/>
                <w:webHidden/>
              </w:rPr>
            </w:r>
            <w:r>
              <w:rPr>
                <w:noProof/>
                <w:webHidden/>
              </w:rPr>
              <w:fldChar w:fldCharType="separate"/>
            </w:r>
            <w:r>
              <w:rPr>
                <w:noProof/>
                <w:webHidden/>
              </w:rPr>
              <w:t>4</w:t>
            </w:r>
            <w:r>
              <w:rPr>
                <w:noProof/>
                <w:webHidden/>
              </w:rPr>
              <w:fldChar w:fldCharType="end"/>
            </w:r>
          </w:hyperlink>
        </w:p>
        <w:p w:rsidR="00342E4D" w:rsidRDefault="00342E4D">
          <w:pPr>
            <w:pStyle w:val="TM1"/>
            <w:tabs>
              <w:tab w:val="right" w:leader="dot" w:pos="9629"/>
            </w:tabs>
            <w:rPr>
              <w:rFonts w:asciiTheme="minorHAnsi" w:eastAsiaTheme="minorEastAsia" w:hAnsiTheme="minorHAnsi" w:cstheme="minorBidi"/>
              <w:b w:val="0"/>
              <w:noProof/>
              <w:sz w:val="22"/>
              <w:szCs w:val="22"/>
            </w:rPr>
          </w:pPr>
          <w:hyperlink w:anchor="_Toc211329656" w:history="1">
            <w:r w:rsidRPr="00C912C3">
              <w:rPr>
                <w:rStyle w:val="Lienhypertexte"/>
                <w:noProof/>
              </w:rPr>
              <w:t>4. L'augmentation des transactions internationales.</w:t>
            </w:r>
            <w:r>
              <w:rPr>
                <w:noProof/>
                <w:webHidden/>
              </w:rPr>
              <w:tab/>
            </w:r>
            <w:r>
              <w:rPr>
                <w:noProof/>
                <w:webHidden/>
              </w:rPr>
              <w:fldChar w:fldCharType="begin"/>
            </w:r>
            <w:r>
              <w:rPr>
                <w:noProof/>
                <w:webHidden/>
              </w:rPr>
              <w:instrText xml:space="preserve"> PAGEREF _Toc211329656 \h </w:instrText>
            </w:r>
            <w:r>
              <w:rPr>
                <w:noProof/>
                <w:webHidden/>
              </w:rPr>
            </w:r>
            <w:r>
              <w:rPr>
                <w:noProof/>
                <w:webHidden/>
              </w:rPr>
              <w:fldChar w:fldCharType="separate"/>
            </w:r>
            <w:r>
              <w:rPr>
                <w:noProof/>
                <w:webHidden/>
              </w:rPr>
              <w:t>5</w:t>
            </w:r>
            <w:r>
              <w:rPr>
                <w:noProof/>
                <w:webHidden/>
              </w:rPr>
              <w:fldChar w:fldCharType="end"/>
            </w:r>
          </w:hyperlink>
        </w:p>
        <w:p w:rsidR="00342E4D" w:rsidRDefault="00342E4D">
          <w:pPr>
            <w:pStyle w:val="TM1"/>
            <w:tabs>
              <w:tab w:val="right" w:leader="dot" w:pos="9629"/>
            </w:tabs>
            <w:rPr>
              <w:rFonts w:asciiTheme="minorHAnsi" w:eastAsiaTheme="minorEastAsia" w:hAnsiTheme="minorHAnsi" w:cstheme="minorBidi"/>
              <w:b w:val="0"/>
              <w:noProof/>
              <w:sz w:val="22"/>
              <w:szCs w:val="22"/>
            </w:rPr>
          </w:pPr>
          <w:hyperlink w:anchor="_Toc211329657" w:history="1">
            <w:r w:rsidRPr="00C912C3">
              <w:rPr>
                <w:rStyle w:val="Lienhypertexte"/>
                <w:noProof/>
              </w:rPr>
              <w:t>5. L'environnement monétaire international.</w:t>
            </w:r>
            <w:r>
              <w:rPr>
                <w:noProof/>
                <w:webHidden/>
              </w:rPr>
              <w:tab/>
            </w:r>
            <w:r>
              <w:rPr>
                <w:noProof/>
                <w:webHidden/>
              </w:rPr>
              <w:fldChar w:fldCharType="begin"/>
            </w:r>
            <w:r>
              <w:rPr>
                <w:noProof/>
                <w:webHidden/>
              </w:rPr>
              <w:instrText xml:space="preserve"> PAGEREF _Toc211329657 \h </w:instrText>
            </w:r>
            <w:r>
              <w:rPr>
                <w:noProof/>
                <w:webHidden/>
              </w:rPr>
            </w:r>
            <w:r>
              <w:rPr>
                <w:noProof/>
                <w:webHidden/>
              </w:rPr>
              <w:fldChar w:fldCharType="separate"/>
            </w:r>
            <w:r>
              <w:rPr>
                <w:noProof/>
                <w:webHidden/>
              </w:rPr>
              <w:t>5</w:t>
            </w:r>
            <w:r>
              <w:rPr>
                <w:noProof/>
                <w:webHidden/>
              </w:rPr>
              <w:fldChar w:fldCharType="end"/>
            </w:r>
          </w:hyperlink>
        </w:p>
        <w:p w:rsidR="00342E4D" w:rsidRDefault="00342E4D">
          <w:pPr>
            <w:pStyle w:val="TM2"/>
            <w:tabs>
              <w:tab w:val="right" w:leader="dot" w:pos="9629"/>
            </w:tabs>
            <w:rPr>
              <w:rFonts w:asciiTheme="minorHAnsi" w:eastAsiaTheme="minorEastAsia" w:hAnsiTheme="minorHAnsi" w:cstheme="minorBidi"/>
              <w:b w:val="0"/>
              <w:noProof/>
              <w:sz w:val="22"/>
              <w:szCs w:val="22"/>
            </w:rPr>
          </w:pPr>
          <w:hyperlink w:anchor="_Toc211329658" w:history="1">
            <w:r w:rsidRPr="00C912C3">
              <w:rPr>
                <w:rStyle w:val="Lienhypertexte"/>
                <w:noProof/>
              </w:rPr>
              <w:t>5.1. Historique.</w:t>
            </w:r>
            <w:r>
              <w:rPr>
                <w:noProof/>
                <w:webHidden/>
              </w:rPr>
              <w:tab/>
            </w:r>
            <w:r>
              <w:rPr>
                <w:noProof/>
                <w:webHidden/>
              </w:rPr>
              <w:fldChar w:fldCharType="begin"/>
            </w:r>
            <w:r>
              <w:rPr>
                <w:noProof/>
                <w:webHidden/>
              </w:rPr>
              <w:instrText xml:space="preserve"> PAGEREF _Toc211329658 \h </w:instrText>
            </w:r>
            <w:r>
              <w:rPr>
                <w:noProof/>
                <w:webHidden/>
              </w:rPr>
            </w:r>
            <w:r>
              <w:rPr>
                <w:noProof/>
                <w:webHidden/>
              </w:rPr>
              <w:fldChar w:fldCharType="separate"/>
            </w:r>
            <w:r>
              <w:rPr>
                <w:noProof/>
                <w:webHidden/>
              </w:rPr>
              <w:t>5</w:t>
            </w:r>
            <w:r>
              <w:rPr>
                <w:noProof/>
                <w:webHidden/>
              </w:rPr>
              <w:fldChar w:fldCharType="end"/>
            </w:r>
          </w:hyperlink>
        </w:p>
        <w:p w:rsidR="00342E4D" w:rsidRDefault="00342E4D">
          <w:pPr>
            <w:pStyle w:val="TM2"/>
            <w:tabs>
              <w:tab w:val="right" w:leader="dot" w:pos="9629"/>
            </w:tabs>
            <w:rPr>
              <w:rFonts w:asciiTheme="minorHAnsi" w:eastAsiaTheme="minorEastAsia" w:hAnsiTheme="minorHAnsi" w:cstheme="minorBidi"/>
              <w:b w:val="0"/>
              <w:noProof/>
              <w:sz w:val="22"/>
              <w:szCs w:val="22"/>
            </w:rPr>
          </w:pPr>
          <w:hyperlink w:anchor="_Toc211329659" w:history="1">
            <w:r w:rsidRPr="00C912C3">
              <w:rPr>
                <w:rStyle w:val="Lienhypertexte"/>
                <w:noProof/>
              </w:rPr>
              <w:t>5.2. Situation actuelle.</w:t>
            </w:r>
            <w:r>
              <w:rPr>
                <w:noProof/>
                <w:webHidden/>
              </w:rPr>
              <w:tab/>
            </w:r>
            <w:r>
              <w:rPr>
                <w:noProof/>
                <w:webHidden/>
              </w:rPr>
              <w:fldChar w:fldCharType="begin"/>
            </w:r>
            <w:r>
              <w:rPr>
                <w:noProof/>
                <w:webHidden/>
              </w:rPr>
              <w:instrText xml:space="preserve"> PAGEREF _Toc211329659 \h </w:instrText>
            </w:r>
            <w:r>
              <w:rPr>
                <w:noProof/>
                <w:webHidden/>
              </w:rPr>
            </w:r>
            <w:r>
              <w:rPr>
                <w:noProof/>
                <w:webHidden/>
              </w:rPr>
              <w:fldChar w:fldCharType="separate"/>
            </w:r>
            <w:r>
              <w:rPr>
                <w:noProof/>
                <w:webHidden/>
              </w:rPr>
              <w:t>6</w:t>
            </w:r>
            <w:r>
              <w:rPr>
                <w:noProof/>
                <w:webHidden/>
              </w:rPr>
              <w:fldChar w:fldCharType="end"/>
            </w:r>
          </w:hyperlink>
        </w:p>
        <w:p w:rsidR="00342E4D" w:rsidRDefault="00342E4D">
          <w:pPr>
            <w:pStyle w:val="TM3"/>
            <w:tabs>
              <w:tab w:val="right" w:leader="dot" w:pos="9629"/>
            </w:tabs>
            <w:rPr>
              <w:rFonts w:asciiTheme="minorHAnsi" w:eastAsiaTheme="minorEastAsia" w:hAnsiTheme="minorHAnsi" w:cstheme="minorBidi"/>
              <w:b w:val="0"/>
              <w:noProof/>
              <w:sz w:val="22"/>
              <w:szCs w:val="22"/>
            </w:rPr>
          </w:pPr>
          <w:hyperlink w:anchor="_Toc211329660" w:history="1">
            <w:r w:rsidRPr="00C912C3">
              <w:rPr>
                <w:rStyle w:val="Lienhypertexte"/>
                <w:noProof/>
              </w:rPr>
              <w:t>5.2.1. La zone Euro.</w:t>
            </w:r>
            <w:r>
              <w:rPr>
                <w:noProof/>
                <w:webHidden/>
              </w:rPr>
              <w:tab/>
            </w:r>
            <w:r>
              <w:rPr>
                <w:noProof/>
                <w:webHidden/>
              </w:rPr>
              <w:fldChar w:fldCharType="begin"/>
            </w:r>
            <w:r>
              <w:rPr>
                <w:noProof/>
                <w:webHidden/>
              </w:rPr>
              <w:instrText xml:space="preserve"> PAGEREF _Toc211329660 \h </w:instrText>
            </w:r>
            <w:r>
              <w:rPr>
                <w:noProof/>
                <w:webHidden/>
              </w:rPr>
            </w:r>
            <w:r>
              <w:rPr>
                <w:noProof/>
                <w:webHidden/>
              </w:rPr>
              <w:fldChar w:fldCharType="separate"/>
            </w:r>
            <w:r>
              <w:rPr>
                <w:noProof/>
                <w:webHidden/>
              </w:rPr>
              <w:t>6</w:t>
            </w:r>
            <w:r>
              <w:rPr>
                <w:noProof/>
                <w:webHidden/>
              </w:rPr>
              <w:fldChar w:fldCharType="end"/>
            </w:r>
          </w:hyperlink>
        </w:p>
        <w:p w:rsidR="00342E4D" w:rsidRDefault="00342E4D">
          <w:pPr>
            <w:pStyle w:val="TM3"/>
            <w:tabs>
              <w:tab w:val="right" w:leader="dot" w:pos="9629"/>
            </w:tabs>
            <w:rPr>
              <w:rFonts w:asciiTheme="minorHAnsi" w:eastAsiaTheme="minorEastAsia" w:hAnsiTheme="minorHAnsi" w:cstheme="minorBidi"/>
              <w:b w:val="0"/>
              <w:noProof/>
              <w:sz w:val="22"/>
              <w:szCs w:val="22"/>
            </w:rPr>
          </w:pPr>
          <w:hyperlink w:anchor="_Toc211329661" w:history="1">
            <w:r w:rsidRPr="00C912C3">
              <w:rPr>
                <w:rStyle w:val="Lienhypertexte"/>
                <w:noProof/>
              </w:rPr>
              <w:t>5.2.2. La Banque Centrale Européenne.</w:t>
            </w:r>
            <w:r>
              <w:rPr>
                <w:noProof/>
                <w:webHidden/>
              </w:rPr>
              <w:tab/>
            </w:r>
            <w:r>
              <w:rPr>
                <w:noProof/>
                <w:webHidden/>
              </w:rPr>
              <w:fldChar w:fldCharType="begin"/>
            </w:r>
            <w:r>
              <w:rPr>
                <w:noProof/>
                <w:webHidden/>
              </w:rPr>
              <w:instrText xml:space="preserve"> PAGEREF _Toc211329661 \h </w:instrText>
            </w:r>
            <w:r>
              <w:rPr>
                <w:noProof/>
                <w:webHidden/>
              </w:rPr>
            </w:r>
            <w:r>
              <w:rPr>
                <w:noProof/>
                <w:webHidden/>
              </w:rPr>
              <w:fldChar w:fldCharType="separate"/>
            </w:r>
            <w:r>
              <w:rPr>
                <w:noProof/>
                <w:webHidden/>
              </w:rPr>
              <w:t>6</w:t>
            </w:r>
            <w:r>
              <w:rPr>
                <w:noProof/>
                <w:webHidden/>
              </w:rPr>
              <w:fldChar w:fldCharType="end"/>
            </w:r>
          </w:hyperlink>
        </w:p>
        <w:p w:rsidR="00342E4D" w:rsidRDefault="00342E4D">
          <w:pPr>
            <w:pStyle w:val="TM3"/>
            <w:tabs>
              <w:tab w:val="right" w:leader="dot" w:pos="9629"/>
            </w:tabs>
            <w:rPr>
              <w:rFonts w:asciiTheme="minorHAnsi" w:eastAsiaTheme="minorEastAsia" w:hAnsiTheme="minorHAnsi" w:cstheme="minorBidi"/>
              <w:b w:val="0"/>
              <w:noProof/>
              <w:sz w:val="22"/>
              <w:szCs w:val="22"/>
            </w:rPr>
          </w:pPr>
          <w:hyperlink w:anchor="_Toc211329662" w:history="1">
            <w:r w:rsidRPr="00C912C3">
              <w:rPr>
                <w:rStyle w:val="Lienhypertexte"/>
                <w:noProof/>
              </w:rPr>
              <w:t>5.2.3. Le rôle du dollar.</w:t>
            </w:r>
            <w:r>
              <w:rPr>
                <w:noProof/>
                <w:webHidden/>
              </w:rPr>
              <w:tab/>
            </w:r>
            <w:r>
              <w:rPr>
                <w:noProof/>
                <w:webHidden/>
              </w:rPr>
              <w:fldChar w:fldCharType="begin"/>
            </w:r>
            <w:r>
              <w:rPr>
                <w:noProof/>
                <w:webHidden/>
              </w:rPr>
              <w:instrText xml:space="preserve"> PAGEREF _Toc211329662 \h </w:instrText>
            </w:r>
            <w:r>
              <w:rPr>
                <w:noProof/>
                <w:webHidden/>
              </w:rPr>
            </w:r>
            <w:r>
              <w:rPr>
                <w:noProof/>
                <w:webHidden/>
              </w:rPr>
              <w:fldChar w:fldCharType="separate"/>
            </w:r>
            <w:r>
              <w:rPr>
                <w:noProof/>
                <w:webHidden/>
              </w:rPr>
              <w:t>7</w:t>
            </w:r>
            <w:r>
              <w:rPr>
                <w:noProof/>
                <w:webHidden/>
              </w:rPr>
              <w:fldChar w:fldCharType="end"/>
            </w:r>
          </w:hyperlink>
        </w:p>
        <w:p w:rsidR="00342E4D" w:rsidRDefault="00342E4D">
          <w:pPr>
            <w:pStyle w:val="TM2"/>
            <w:tabs>
              <w:tab w:val="right" w:leader="dot" w:pos="9629"/>
            </w:tabs>
            <w:rPr>
              <w:rFonts w:asciiTheme="minorHAnsi" w:eastAsiaTheme="minorEastAsia" w:hAnsiTheme="minorHAnsi" w:cstheme="minorBidi"/>
              <w:b w:val="0"/>
              <w:noProof/>
              <w:sz w:val="22"/>
              <w:szCs w:val="22"/>
            </w:rPr>
          </w:pPr>
          <w:hyperlink w:anchor="_Toc211329663" w:history="1">
            <w:r w:rsidRPr="00C912C3">
              <w:rPr>
                <w:rStyle w:val="Lienhypertexte"/>
                <w:noProof/>
              </w:rPr>
              <w:t>5.3. Internationalisation des entreprises.</w:t>
            </w:r>
            <w:r>
              <w:rPr>
                <w:noProof/>
                <w:webHidden/>
              </w:rPr>
              <w:tab/>
            </w:r>
            <w:r>
              <w:rPr>
                <w:noProof/>
                <w:webHidden/>
              </w:rPr>
              <w:fldChar w:fldCharType="begin"/>
            </w:r>
            <w:r>
              <w:rPr>
                <w:noProof/>
                <w:webHidden/>
              </w:rPr>
              <w:instrText xml:space="preserve"> PAGEREF _Toc211329663 \h </w:instrText>
            </w:r>
            <w:r>
              <w:rPr>
                <w:noProof/>
                <w:webHidden/>
              </w:rPr>
            </w:r>
            <w:r>
              <w:rPr>
                <w:noProof/>
                <w:webHidden/>
              </w:rPr>
              <w:fldChar w:fldCharType="separate"/>
            </w:r>
            <w:r>
              <w:rPr>
                <w:noProof/>
                <w:webHidden/>
              </w:rPr>
              <w:t>7</w:t>
            </w:r>
            <w:r>
              <w:rPr>
                <w:noProof/>
                <w:webHidden/>
              </w:rPr>
              <w:fldChar w:fldCharType="end"/>
            </w:r>
          </w:hyperlink>
        </w:p>
        <w:p w:rsidR="002E531E" w:rsidRDefault="0020410F" w:rsidP="008E1843">
          <w:r>
            <w:fldChar w:fldCharType="end"/>
          </w:r>
        </w:p>
      </w:sdtContent>
    </w:sdt>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2E531E" w:rsidRDefault="002E531E" w:rsidP="002E531E">
      <w:pPr>
        <w:pStyle w:val="Titre1"/>
      </w:pPr>
      <w:bookmarkStart w:id="0" w:name="_Toc211329650"/>
      <w:r>
        <w:lastRenderedPageBreak/>
        <w:t>1. La mondialisation.</w:t>
      </w:r>
      <w:bookmarkEnd w:id="0"/>
    </w:p>
    <w:p w:rsidR="00C1182F" w:rsidRPr="00C1182F" w:rsidRDefault="00C1182F" w:rsidP="00C1182F">
      <w:pPr>
        <w:rPr>
          <w:lang w:eastAsia="fr-FR"/>
        </w:rPr>
      </w:pPr>
    </w:p>
    <w:p w:rsidR="002E531E" w:rsidRDefault="002E531E" w:rsidP="002E531E"/>
    <w:tbl>
      <w:tblPr>
        <w:tblW w:w="9717" w:type="dxa"/>
        <w:tblCellSpacing w:w="15" w:type="dxa"/>
        <w:tblCellMar>
          <w:top w:w="15" w:type="dxa"/>
          <w:left w:w="15" w:type="dxa"/>
          <w:bottom w:w="15" w:type="dxa"/>
          <w:right w:w="15" w:type="dxa"/>
        </w:tblCellMar>
        <w:tblLook w:val="04A0"/>
      </w:tblPr>
      <w:tblGrid>
        <w:gridCol w:w="5132"/>
        <w:gridCol w:w="4585"/>
      </w:tblGrid>
      <w:tr w:rsidR="002E531E" w:rsidTr="00C1182F">
        <w:trPr>
          <w:trHeight w:val="2701"/>
          <w:tblCellSpacing w:w="15" w:type="dxa"/>
        </w:trPr>
        <w:tc>
          <w:tcPr>
            <w:tcW w:w="5087" w:type="dxa"/>
            <w:vAlign w:val="center"/>
            <w:hideMark/>
          </w:tcPr>
          <w:p w:rsidR="002E531E" w:rsidRDefault="002E531E">
            <w:pPr>
              <w:jc w:val="center"/>
              <w:rPr>
                <w:rFonts w:ascii="Georgia" w:hAnsi="Georgia"/>
                <w:color w:val="666666"/>
                <w:szCs w:val="24"/>
              </w:rPr>
            </w:pPr>
            <w:r>
              <w:rPr>
                <w:rFonts w:ascii="Georgia" w:hAnsi="Georgia"/>
                <w:noProof/>
                <w:color w:val="666666"/>
                <w:lang w:eastAsia="fr-FR"/>
              </w:rPr>
              <w:drawing>
                <wp:inline distT="0" distB="0" distL="0" distR="0">
                  <wp:extent cx="3086100" cy="2038350"/>
                  <wp:effectExtent l="19050" t="0" r="0" b="0"/>
                  <wp:docPr id="1" name="Image 1" descr="D:\JANUARIO Carlos\Mon travail\IUT en Ligne\Modulest\ModXML6\modsrc\FIN-INTER-01\Chapitre-01\Mondial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ANUARIO Carlos\Mon travail\IUT en Ligne\Modulest\ModXML6\modsrc\FIN-INTER-01\Chapitre-01\Mondialisation.jpg"/>
                          <pic:cNvPicPr>
                            <a:picLocks noChangeAspect="1" noChangeArrowheads="1"/>
                          </pic:cNvPicPr>
                        </pic:nvPicPr>
                        <pic:blipFill>
                          <a:blip r:embed="rId8"/>
                          <a:srcRect/>
                          <a:stretch>
                            <a:fillRect/>
                          </a:stretch>
                        </pic:blipFill>
                        <pic:spPr bwMode="auto">
                          <a:xfrm>
                            <a:off x="0" y="0"/>
                            <a:ext cx="3086100" cy="2038350"/>
                          </a:xfrm>
                          <a:prstGeom prst="rect">
                            <a:avLst/>
                          </a:prstGeom>
                          <a:noFill/>
                          <a:ln w="9525">
                            <a:noFill/>
                            <a:miter lim="800000"/>
                            <a:headEnd/>
                            <a:tailEnd/>
                          </a:ln>
                        </pic:spPr>
                      </pic:pic>
                    </a:graphicData>
                  </a:graphic>
                </wp:inline>
              </w:drawing>
            </w:r>
          </w:p>
        </w:tc>
        <w:tc>
          <w:tcPr>
            <w:tcW w:w="4540" w:type="dxa"/>
            <w:vAlign w:val="center"/>
            <w:hideMark/>
          </w:tcPr>
          <w:p w:rsidR="002E531E" w:rsidRPr="002E531E" w:rsidRDefault="002E531E" w:rsidP="002E531E">
            <w:pPr>
              <w:pStyle w:val="NormalWeb"/>
              <w:spacing w:before="0" w:after="0"/>
              <w:jc w:val="both"/>
              <w:rPr>
                <w:color w:val="333333"/>
              </w:rPr>
            </w:pPr>
            <w:r w:rsidRPr="002E531E">
              <w:rPr>
                <w:color w:val="333333"/>
              </w:rPr>
              <w:t xml:space="preserve">On peut définir la </w:t>
            </w:r>
            <w:r w:rsidRPr="002E531E">
              <w:rPr>
                <w:rStyle w:val="titreexercice1"/>
              </w:rPr>
              <w:t>mondialisation</w:t>
            </w:r>
            <w:r w:rsidRPr="002E531E">
              <w:rPr>
                <w:color w:val="333333"/>
              </w:rPr>
              <w:t xml:space="preserve"> comme le développement de liens d’interdépendance entre les hommes, les activités humaines et les systèmes politiques à l’échelle mondiale. </w:t>
            </w:r>
          </w:p>
          <w:p w:rsidR="002E531E" w:rsidRPr="002E531E" w:rsidRDefault="002E531E" w:rsidP="002E531E">
            <w:pPr>
              <w:pStyle w:val="NormalWeb"/>
              <w:jc w:val="both"/>
              <w:rPr>
                <w:color w:val="333333"/>
              </w:rPr>
            </w:pPr>
            <w:r w:rsidRPr="002E531E">
              <w:rPr>
                <w:color w:val="333333"/>
              </w:rPr>
              <w:t xml:space="preserve">Ce phénomène peut être envisagé sur le plan économique, comme le développement des échanges de biens et de services au niveau mondial. </w:t>
            </w:r>
          </w:p>
          <w:p w:rsidR="002E531E" w:rsidRPr="002E531E" w:rsidRDefault="002E531E" w:rsidP="002E531E">
            <w:pPr>
              <w:pStyle w:val="NormalWeb"/>
              <w:spacing w:before="0" w:after="0"/>
              <w:jc w:val="both"/>
              <w:rPr>
                <w:color w:val="333333"/>
              </w:rPr>
            </w:pPr>
            <w:r w:rsidRPr="002E531E">
              <w:rPr>
                <w:color w:val="333333"/>
              </w:rPr>
              <w:t xml:space="preserve">Depuis la fin des années 1980, il a été accentué par la création de </w:t>
            </w:r>
            <w:hyperlink r:id="rId9" w:tgtFrame="wclose" w:history="1">
              <w:r w:rsidRPr="002E531E">
                <w:rPr>
                  <w:rStyle w:val="Lienhypertexte"/>
                  <w:b/>
                  <w:bCs/>
                  <w:color w:val="800000"/>
                  <w:shd w:val="clear" w:color="auto" w:fill="FFCC00"/>
                </w:rPr>
                <w:t>marchés financiers</w:t>
              </w:r>
            </w:hyperlink>
            <w:r w:rsidRPr="002E531E">
              <w:rPr>
                <w:color w:val="333333"/>
              </w:rPr>
              <w:t xml:space="preserve"> au niveau mondial.</w:t>
            </w:r>
          </w:p>
        </w:tc>
      </w:tr>
    </w:tbl>
    <w:p w:rsidR="002E531E" w:rsidRDefault="002E531E" w:rsidP="002E531E">
      <w:pPr>
        <w:rPr>
          <w:rFonts w:ascii="Georgia" w:hAnsi="Georgia"/>
          <w:vanish/>
          <w:color w:val="666666"/>
        </w:rPr>
      </w:pPr>
    </w:p>
    <w:tbl>
      <w:tblPr>
        <w:tblW w:w="9703" w:type="dxa"/>
        <w:tblCellSpacing w:w="15" w:type="dxa"/>
        <w:tblCellMar>
          <w:top w:w="15" w:type="dxa"/>
          <w:left w:w="15" w:type="dxa"/>
          <w:bottom w:w="15" w:type="dxa"/>
          <w:right w:w="15" w:type="dxa"/>
        </w:tblCellMar>
        <w:tblLook w:val="04A0"/>
      </w:tblPr>
      <w:tblGrid>
        <w:gridCol w:w="6320"/>
        <w:gridCol w:w="3383"/>
      </w:tblGrid>
      <w:tr w:rsidR="002E531E" w:rsidTr="00C1182F">
        <w:trPr>
          <w:trHeight w:val="2732"/>
          <w:tblCellSpacing w:w="15" w:type="dxa"/>
        </w:trPr>
        <w:tc>
          <w:tcPr>
            <w:tcW w:w="6275" w:type="dxa"/>
            <w:vAlign w:val="center"/>
            <w:hideMark/>
          </w:tcPr>
          <w:p w:rsidR="002E531E" w:rsidRPr="002E531E" w:rsidRDefault="002E531E" w:rsidP="002E531E">
            <w:pPr>
              <w:pStyle w:val="NormalWeb"/>
              <w:spacing w:before="0" w:after="0"/>
              <w:jc w:val="both"/>
              <w:rPr>
                <w:color w:val="333333"/>
              </w:rPr>
            </w:pPr>
            <w:r w:rsidRPr="002E531E">
              <w:rPr>
                <w:color w:val="333333"/>
              </w:rPr>
              <w:t xml:space="preserve">Bien sur, en parallèle de l’augmentation des échanges de biens et de services, on assiste à une augmentation des flux financiers internationaux (entre entreprises de pays différents, entre filiales d’une même entreprise situées dans deux pays différents, entre deux </w:t>
            </w:r>
            <w:hyperlink r:id="rId10" w:tgtFrame="wclose" w:history="1">
              <w:r w:rsidRPr="002E531E">
                <w:rPr>
                  <w:rStyle w:val="Lienhypertexte"/>
                  <w:b/>
                  <w:bCs/>
                  <w:color w:val="800000"/>
                  <w:shd w:val="clear" w:color="auto" w:fill="FFCC00"/>
                </w:rPr>
                <w:t>marchés financiers</w:t>
              </w:r>
            </w:hyperlink>
            <w:r w:rsidRPr="002E531E">
              <w:rPr>
                <w:color w:val="333333"/>
              </w:rPr>
              <w:t xml:space="preserve"> situés dans des pays différents…). </w:t>
            </w:r>
          </w:p>
          <w:p w:rsidR="002E531E" w:rsidRPr="002E531E" w:rsidRDefault="002E531E" w:rsidP="002E531E">
            <w:pPr>
              <w:pStyle w:val="NormalWeb"/>
              <w:jc w:val="both"/>
              <w:rPr>
                <w:color w:val="333333"/>
              </w:rPr>
            </w:pPr>
            <w:r w:rsidRPr="002E531E">
              <w:rPr>
                <w:color w:val="333333"/>
              </w:rPr>
              <w:t>Au delà de toute idéologie, la mondialisation est un phénomène que les entreprises doivent prendre en compte et qui influe soit sur leur quotidien, soit sur leur développement futur.</w:t>
            </w:r>
          </w:p>
        </w:tc>
        <w:tc>
          <w:tcPr>
            <w:tcW w:w="3338" w:type="dxa"/>
            <w:vAlign w:val="center"/>
            <w:hideMark/>
          </w:tcPr>
          <w:p w:rsidR="002E531E" w:rsidRDefault="002E531E">
            <w:pPr>
              <w:jc w:val="center"/>
              <w:rPr>
                <w:rFonts w:ascii="Georgia" w:hAnsi="Georgia"/>
                <w:color w:val="333333"/>
                <w:szCs w:val="24"/>
              </w:rPr>
            </w:pPr>
            <w:r>
              <w:rPr>
                <w:rFonts w:ascii="Georgia" w:hAnsi="Georgia"/>
                <w:noProof/>
                <w:color w:val="333333"/>
                <w:lang w:eastAsia="fr-FR"/>
              </w:rPr>
              <w:drawing>
                <wp:inline distT="0" distB="0" distL="0" distR="0">
                  <wp:extent cx="2019300" cy="2019300"/>
                  <wp:effectExtent l="19050" t="0" r="0" b="0"/>
                  <wp:docPr id="2" name="Image 2" descr="D:\JANUARIO Carlos\Mon travail\IUT en Ligne\Modulest\ModXML6\modsrc\FIN-INTER-01\Chapitre-01\Marche-financ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ANUARIO Carlos\Mon travail\IUT en Ligne\Modulest\ModXML6\modsrc\FIN-INTER-01\Chapitre-01\Marche-financier.jpg"/>
                          <pic:cNvPicPr>
                            <a:picLocks noChangeAspect="1" noChangeArrowheads="1"/>
                          </pic:cNvPicPr>
                        </pic:nvPicPr>
                        <pic:blipFill>
                          <a:blip r:embed="rId11"/>
                          <a:srcRect/>
                          <a:stretch>
                            <a:fillRect/>
                          </a:stretch>
                        </pic:blipFill>
                        <pic:spPr bwMode="auto">
                          <a:xfrm>
                            <a:off x="0" y="0"/>
                            <a:ext cx="2019300" cy="2019300"/>
                          </a:xfrm>
                          <a:prstGeom prst="rect">
                            <a:avLst/>
                          </a:prstGeom>
                          <a:noFill/>
                          <a:ln w="9525">
                            <a:noFill/>
                            <a:miter lim="800000"/>
                            <a:headEnd/>
                            <a:tailEnd/>
                          </a:ln>
                        </pic:spPr>
                      </pic:pic>
                    </a:graphicData>
                  </a:graphic>
                </wp:inline>
              </w:drawing>
            </w:r>
          </w:p>
        </w:tc>
      </w:tr>
    </w:tbl>
    <w:p w:rsidR="002E531E" w:rsidRDefault="002E531E" w:rsidP="002E531E"/>
    <w:p w:rsidR="002E531E" w:rsidRDefault="002E531E" w:rsidP="002E531E"/>
    <w:p w:rsidR="00C1182F" w:rsidRDefault="00C1182F" w:rsidP="002E531E"/>
    <w:p w:rsidR="002E531E" w:rsidRDefault="002E531E" w:rsidP="002E531E">
      <w:pPr>
        <w:pStyle w:val="Titre1"/>
      </w:pPr>
      <w:bookmarkStart w:id="1" w:name="_Toc211329651"/>
      <w:r>
        <w:t>2. La dérèglementation des échanges.</w:t>
      </w:r>
      <w:bookmarkEnd w:id="1"/>
    </w:p>
    <w:p w:rsidR="002E531E" w:rsidRDefault="002E531E" w:rsidP="002E531E"/>
    <w:p w:rsidR="002E531E" w:rsidRDefault="002E531E" w:rsidP="002E531E">
      <w:pPr>
        <w:pStyle w:val="Titre2"/>
      </w:pPr>
      <w:bookmarkStart w:id="2" w:name="_Toc211329652"/>
      <w:r>
        <w:t>2.1. L'action de l'OMC.</w:t>
      </w:r>
      <w:bookmarkEnd w:id="2"/>
    </w:p>
    <w:p w:rsidR="002E531E" w:rsidRDefault="002E531E" w:rsidP="002E531E"/>
    <w:tbl>
      <w:tblPr>
        <w:tblW w:w="9853" w:type="dxa"/>
        <w:tblCellSpacing w:w="15" w:type="dxa"/>
        <w:tblCellMar>
          <w:top w:w="15" w:type="dxa"/>
          <w:left w:w="15" w:type="dxa"/>
          <w:bottom w:w="15" w:type="dxa"/>
          <w:right w:w="15" w:type="dxa"/>
        </w:tblCellMar>
        <w:tblLook w:val="04A0"/>
      </w:tblPr>
      <w:tblGrid>
        <w:gridCol w:w="6868"/>
        <w:gridCol w:w="2985"/>
      </w:tblGrid>
      <w:tr w:rsidR="00C1182F" w:rsidTr="00C1182F">
        <w:trPr>
          <w:trHeight w:val="2631"/>
          <w:tblCellSpacing w:w="15" w:type="dxa"/>
        </w:trPr>
        <w:tc>
          <w:tcPr>
            <w:tcW w:w="6855" w:type="dxa"/>
            <w:vAlign w:val="center"/>
            <w:hideMark/>
          </w:tcPr>
          <w:p w:rsidR="00C1182F" w:rsidRPr="00C1182F" w:rsidRDefault="00C1182F" w:rsidP="00C1182F">
            <w:pPr>
              <w:pStyle w:val="couleure"/>
              <w:spacing w:before="0" w:after="0"/>
            </w:pPr>
            <w:r w:rsidRPr="00C1182F">
              <w:t>Depuis la fin de la Seconde Guerre Mondiale, et notamment sous l’action de l’</w:t>
            </w:r>
            <w:hyperlink r:id="rId12" w:tgtFrame="wclose" w:history="1">
              <w:r w:rsidRPr="00C1182F">
                <w:rPr>
                  <w:rStyle w:val="Lienhypertexte"/>
                  <w:b/>
                  <w:bCs/>
                  <w:color w:val="800000"/>
                  <w:shd w:val="clear" w:color="auto" w:fill="FFCC00"/>
                </w:rPr>
                <w:t>Organisation Mondiale du Commerce</w:t>
              </w:r>
            </w:hyperlink>
            <w:r w:rsidRPr="00C1182F">
              <w:t xml:space="preserve">, les pays ont ouvert leurs frontières, les droits de douanes et les quotas ont baissé ou ont disparu. </w:t>
            </w:r>
          </w:p>
          <w:p w:rsidR="00C1182F" w:rsidRPr="00C1182F" w:rsidRDefault="00C1182F" w:rsidP="00C1182F">
            <w:pPr>
              <w:pStyle w:val="couleure"/>
              <w:spacing w:before="0" w:after="0"/>
            </w:pPr>
            <w:r w:rsidRPr="00C1182F">
              <w:t>Les marchés communs comme l’</w:t>
            </w:r>
            <w:r w:rsidRPr="00C1182F">
              <w:rPr>
                <w:rStyle w:val="titreexercice1"/>
              </w:rPr>
              <w:t>Union Européenne</w:t>
            </w:r>
            <w:r w:rsidRPr="00C1182F">
              <w:t>, l’</w:t>
            </w:r>
            <w:r w:rsidRPr="00C1182F">
              <w:rPr>
                <w:rStyle w:val="titreexercice1"/>
              </w:rPr>
              <w:t>Asian Free Trade Area</w:t>
            </w:r>
            <w:r w:rsidRPr="00C1182F">
              <w:t xml:space="preserve"> (l’AFTA), ont contribué à cette ouverture. </w:t>
            </w:r>
          </w:p>
          <w:p w:rsidR="00C1182F" w:rsidRPr="00C1182F" w:rsidRDefault="00C1182F" w:rsidP="00C1182F">
            <w:pPr>
              <w:pStyle w:val="couleure"/>
            </w:pPr>
            <w:r w:rsidRPr="00C1182F">
              <w:t>Cela a permis une augmentation très forte du commerce international, de l’échange des marchandises à celui des services. Des mesures ont aussi été prises concernant le mouvement des capitaux.</w:t>
            </w:r>
          </w:p>
        </w:tc>
        <w:tc>
          <w:tcPr>
            <w:tcW w:w="2908" w:type="dxa"/>
            <w:vAlign w:val="center"/>
            <w:hideMark/>
          </w:tcPr>
          <w:p w:rsidR="00C1182F" w:rsidRDefault="00C1182F">
            <w:pPr>
              <w:jc w:val="right"/>
              <w:rPr>
                <w:rFonts w:ascii="Georgia" w:hAnsi="Georgia"/>
                <w:color w:val="666666"/>
                <w:szCs w:val="24"/>
              </w:rPr>
            </w:pPr>
            <w:r>
              <w:rPr>
                <w:rFonts w:ascii="Georgia" w:hAnsi="Georgia"/>
                <w:noProof/>
                <w:color w:val="666666"/>
                <w:lang w:eastAsia="fr-FR"/>
              </w:rPr>
              <w:drawing>
                <wp:inline distT="0" distB="0" distL="0" distR="0">
                  <wp:extent cx="1819275" cy="1819275"/>
                  <wp:effectExtent l="19050" t="0" r="9525" b="0"/>
                  <wp:docPr id="5" name="Image 5" descr="D:\JANUARIO Carlos\Mon travail\IUT en Ligne\Modulest\ModXML6\modsrc\FIN-INTER-01\Chapitre-02\OM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JANUARIO Carlos\Mon travail\IUT en Ligne\Modulest\ModXML6\modsrc\FIN-INTER-01\Chapitre-02\OMC-1.jpg"/>
                          <pic:cNvPicPr>
                            <a:picLocks noChangeAspect="1" noChangeArrowheads="1"/>
                          </pic:cNvPicPr>
                        </pic:nvPicPr>
                        <pic:blipFill>
                          <a:blip r:embed="rId13"/>
                          <a:srcRect/>
                          <a:stretch>
                            <a:fillRect/>
                          </a:stretch>
                        </pic:blipFill>
                        <pic:spPr bwMode="auto">
                          <a:xfrm>
                            <a:off x="0" y="0"/>
                            <a:ext cx="1819275" cy="1819275"/>
                          </a:xfrm>
                          <a:prstGeom prst="rect">
                            <a:avLst/>
                          </a:prstGeom>
                          <a:noFill/>
                          <a:ln w="9525">
                            <a:noFill/>
                            <a:miter lim="800000"/>
                            <a:headEnd/>
                            <a:tailEnd/>
                          </a:ln>
                        </pic:spPr>
                      </pic:pic>
                    </a:graphicData>
                  </a:graphic>
                </wp:inline>
              </w:drawing>
            </w:r>
          </w:p>
        </w:tc>
      </w:tr>
      <w:tr w:rsidR="00C1182F" w:rsidTr="00C1182F">
        <w:trPr>
          <w:trHeight w:val="132"/>
          <w:tblCellSpacing w:w="15" w:type="dxa"/>
        </w:trPr>
        <w:tc>
          <w:tcPr>
            <w:tcW w:w="0" w:type="auto"/>
            <w:gridSpan w:val="2"/>
            <w:vAlign w:val="center"/>
            <w:hideMark/>
          </w:tcPr>
          <w:p w:rsidR="00C1182F" w:rsidRPr="00C1182F" w:rsidRDefault="00C1182F">
            <w:pPr>
              <w:jc w:val="center"/>
              <w:rPr>
                <w:color w:val="666666"/>
                <w:szCs w:val="24"/>
              </w:rPr>
            </w:pPr>
            <w:r w:rsidRPr="00C1182F">
              <w:rPr>
                <w:noProof/>
                <w:color w:val="666666"/>
                <w:lang w:eastAsia="fr-FR"/>
              </w:rPr>
              <w:lastRenderedPageBreak/>
              <w:drawing>
                <wp:inline distT="0" distB="0" distL="0" distR="0">
                  <wp:extent cx="3467100" cy="2800350"/>
                  <wp:effectExtent l="19050" t="0" r="0" b="0"/>
                  <wp:docPr id="6" name="Image 6" descr="D:\JANUARIO Carlos\Mon travail\IUT en Ligne\Modulest\ModXML6\modsrc\FIN-INTER-01\Chapitre-02\OMC-memb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JANUARIO Carlos\Mon travail\IUT en Ligne\Modulest\ModXML6\modsrc\FIN-INTER-01\Chapitre-02\OMC-membres.jpg"/>
                          <pic:cNvPicPr>
                            <a:picLocks noChangeAspect="1" noChangeArrowheads="1"/>
                          </pic:cNvPicPr>
                        </pic:nvPicPr>
                        <pic:blipFill>
                          <a:blip r:embed="rId14"/>
                          <a:srcRect/>
                          <a:stretch>
                            <a:fillRect/>
                          </a:stretch>
                        </pic:blipFill>
                        <pic:spPr bwMode="auto">
                          <a:xfrm>
                            <a:off x="0" y="0"/>
                            <a:ext cx="3467100" cy="2800350"/>
                          </a:xfrm>
                          <a:prstGeom prst="rect">
                            <a:avLst/>
                          </a:prstGeom>
                          <a:noFill/>
                          <a:ln w="9525">
                            <a:noFill/>
                            <a:miter lim="800000"/>
                            <a:headEnd/>
                            <a:tailEnd/>
                          </a:ln>
                        </pic:spPr>
                      </pic:pic>
                    </a:graphicData>
                  </a:graphic>
                </wp:inline>
              </w:drawing>
            </w:r>
          </w:p>
        </w:tc>
      </w:tr>
      <w:tr w:rsidR="00C1182F" w:rsidTr="00C1182F">
        <w:trPr>
          <w:trHeight w:val="276"/>
          <w:tblCellSpacing w:w="15" w:type="dxa"/>
        </w:trPr>
        <w:tc>
          <w:tcPr>
            <w:tcW w:w="0" w:type="auto"/>
            <w:gridSpan w:val="2"/>
            <w:vAlign w:val="center"/>
            <w:hideMark/>
          </w:tcPr>
          <w:p w:rsidR="00C1182F" w:rsidRPr="00C1182F" w:rsidRDefault="0020410F" w:rsidP="00C1182F">
            <w:pPr>
              <w:jc w:val="center"/>
              <w:rPr>
                <w:color w:val="666666"/>
                <w:szCs w:val="24"/>
              </w:rPr>
            </w:pPr>
            <w:hyperlink r:id="rId15" w:tgtFrame="_blank" w:history="1">
              <w:r w:rsidR="00C1182F" w:rsidRPr="00C1182F">
                <w:rPr>
                  <w:rStyle w:val="Lienhypertexte"/>
                  <w:b/>
                  <w:bCs/>
                  <w:color w:val="800000"/>
                  <w:shd w:val="clear" w:color="auto" w:fill="FFCC00"/>
                </w:rPr>
                <w:t>http://www.wto.org/indexfr.htm</w:t>
              </w:r>
            </w:hyperlink>
            <w:r w:rsidR="00C1182F" w:rsidRPr="00C1182F">
              <w:rPr>
                <w:color w:val="666666"/>
              </w:rPr>
              <w:t xml:space="preserve"> </w:t>
            </w:r>
          </w:p>
        </w:tc>
      </w:tr>
    </w:tbl>
    <w:p w:rsidR="002E531E" w:rsidRDefault="002E531E" w:rsidP="002E531E"/>
    <w:p w:rsidR="00C1182F" w:rsidRDefault="00C1182F" w:rsidP="002E531E"/>
    <w:p w:rsidR="002E531E" w:rsidRDefault="002E531E" w:rsidP="002E531E">
      <w:pPr>
        <w:pStyle w:val="Titre2"/>
      </w:pPr>
      <w:bookmarkStart w:id="3" w:name="_Toc211329653"/>
      <w:r>
        <w:t>2.2. Les conséquences des politiques libérales.</w:t>
      </w:r>
      <w:bookmarkEnd w:id="3"/>
    </w:p>
    <w:p w:rsidR="002E531E" w:rsidRDefault="002E531E" w:rsidP="002E531E"/>
    <w:tbl>
      <w:tblPr>
        <w:tblW w:w="9763" w:type="dxa"/>
        <w:tblCellSpacing w:w="15" w:type="dxa"/>
        <w:tblCellMar>
          <w:top w:w="15" w:type="dxa"/>
          <w:left w:w="15" w:type="dxa"/>
          <w:bottom w:w="15" w:type="dxa"/>
          <w:right w:w="15" w:type="dxa"/>
        </w:tblCellMar>
        <w:tblLook w:val="04A0"/>
      </w:tblPr>
      <w:tblGrid>
        <w:gridCol w:w="6268"/>
        <w:gridCol w:w="3495"/>
      </w:tblGrid>
      <w:tr w:rsidR="00C1182F" w:rsidRPr="00C1182F" w:rsidTr="00C1182F">
        <w:trPr>
          <w:trHeight w:val="2567"/>
          <w:tblCellSpacing w:w="15" w:type="dxa"/>
        </w:trPr>
        <w:tc>
          <w:tcPr>
            <w:tcW w:w="0" w:type="auto"/>
            <w:vAlign w:val="center"/>
            <w:hideMark/>
          </w:tcPr>
          <w:p w:rsidR="00C1182F" w:rsidRPr="00C1182F" w:rsidRDefault="00C1182F" w:rsidP="00C1182F">
            <w:pPr>
              <w:spacing w:before="100" w:beforeAutospacing="1" w:after="100" w:afterAutospacing="1"/>
              <w:rPr>
                <w:rFonts w:eastAsia="Times New Roman"/>
                <w:color w:val="333333"/>
                <w:szCs w:val="24"/>
                <w:lang w:eastAsia="fr-FR"/>
              </w:rPr>
            </w:pPr>
            <w:r w:rsidRPr="00C1182F">
              <w:rPr>
                <w:rFonts w:eastAsia="Times New Roman"/>
                <w:color w:val="333333"/>
                <w:szCs w:val="24"/>
                <w:lang w:eastAsia="fr-FR"/>
              </w:rPr>
              <w:t xml:space="preserve">Les politiques libérales poussent les pays à ouvrir leurs frontières, à modifier les règles du marché afin d’attirer les capitaux étrangers. </w:t>
            </w:r>
          </w:p>
          <w:p w:rsidR="00C1182F" w:rsidRPr="00C1182F" w:rsidRDefault="00C1182F" w:rsidP="00C1182F">
            <w:pPr>
              <w:spacing w:beforeAutospacing="1" w:afterAutospacing="1"/>
              <w:rPr>
                <w:rFonts w:eastAsia="Times New Roman"/>
                <w:color w:val="333333"/>
                <w:szCs w:val="24"/>
                <w:lang w:eastAsia="fr-FR"/>
              </w:rPr>
            </w:pPr>
            <w:r w:rsidRPr="00C1182F">
              <w:rPr>
                <w:rFonts w:eastAsia="Times New Roman"/>
                <w:color w:val="333333"/>
                <w:szCs w:val="24"/>
                <w:lang w:eastAsia="fr-FR"/>
              </w:rPr>
              <w:t xml:space="preserve">Ainsi, les politiques du </w:t>
            </w:r>
            <w:r w:rsidRPr="00C1182F">
              <w:rPr>
                <w:rFonts w:eastAsia="Times New Roman"/>
                <w:b/>
                <w:bCs/>
                <w:color w:val="800000"/>
                <w:lang w:eastAsia="fr-FR"/>
              </w:rPr>
              <w:t>Fonds Monétaire International</w:t>
            </w:r>
            <w:r w:rsidRPr="00C1182F">
              <w:rPr>
                <w:rFonts w:eastAsia="Times New Roman"/>
                <w:color w:val="333333"/>
                <w:szCs w:val="24"/>
                <w:lang w:eastAsia="fr-FR"/>
              </w:rPr>
              <w:t xml:space="preserve"> visent le plus souvent à rassurer les investisseurs étrangers, dont on considère que les capitaux viendront aider l’économie locale à décoller.</w:t>
            </w:r>
          </w:p>
        </w:tc>
        <w:tc>
          <w:tcPr>
            <w:tcW w:w="0" w:type="auto"/>
            <w:vAlign w:val="center"/>
            <w:hideMark/>
          </w:tcPr>
          <w:p w:rsidR="00C1182F" w:rsidRPr="00C1182F" w:rsidRDefault="00C1182F" w:rsidP="00C1182F">
            <w:pPr>
              <w:jc w:val="right"/>
              <w:rPr>
                <w:rFonts w:ascii="Georgia" w:eastAsia="Times New Roman" w:hAnsi="Georgia"/>
                <w:color w:val="666666"/>
                <w:szCs w:val="24"/>
                <w:lang w:eastAsia="fr-FR"/>
              </w:rPr>
            </w:pPr>
            <w:r>
              <w:rPr>
                <w:rFonts w:ascii="Georgia" w:eastAsia="Times New Roman" w:hAnsi="Georgia"/>
                <w:noProof/>
                <w:color w:val="666666"/>
                <w:szCs w:val="24"/>
                <w:lang w:eastAsia="fr-FR"/>
              </w:rPr>
              <w:drawing>
                <wp:inline distT="0" distB="0" distL="0" distR="0">
                  <wp:extent cx="2143125" cy="2076450"/>
                  <wp:effectExtent l="19050" t="0" r="9525" b="0"/>
                  <wp:docPr id="9" name="Image 9" descr="D:\JANUARIO Carlos\Mon travail\IUT en Ligne\Modulest\ModXML6\modsrc\FIN-INTER-01\Chapitre-02\FMI-Si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JANUARIO Carlos\Mon travail\IUT en Ligne\Modulest\ModXML6\modsrc\FIN-INTER-01\Chapitre-02\FMI-Sigle.jpg"/>
                          <pic:cNvPicPr>
                            <a:picLocks noChangeAspect="1" noChangeArrowheads="1"/>
                          </pic:cNvPicPr>
                        </pic:nvPicPr>
                        <pic:blipFill>
                          <a:blip r:embed="rId16"/>
                          <a:srcRect/>
                          <a:stretch>
                            <a:fillRect/>
                          </a:stretch>
                        </pic:blipFill>
                        <pic:spPr bwMode="auto">
                          <a:xfrm>
                            <a:off x="0" y="0"/>
                            <a:ext cx="2143125" cy="2076450"/>
                          </a:xfrm>
                          <a:prstGeom prst="rect">
                            <a:avLst/>
                          </a:prstGeom>
                          <a:noFill/>
                          <a:ln w="9525">
                            <a:noFill/>
                            <a:miter lim="800000"/>
                            <a:headEnd/>
                            <a:tailEnd/>
                          </a:ln>
                        </pic:spPr>
                      </pic:pic>
                    </a:graphicData>
                  </a:graphic>
                </wp:inline>
              </w:drawing>
            </w:r>
          </w:p>
        </w:tc>
      </w:tr>
    </w:tbl>
    <w:p w:rsidR="002E531E" w:rsidRDefault="002E531E" w:rsidP="002E531E"/>
    <w:p w:rsidR="002E531E" w:rsidRDefault="002E531E" w:rsidP="002E531E"/>
    <w:p w:rsidR="002E531E" w:rsidRDefault="002E531E" w:rsidP="002E531E">
      <w:pPr>
        <w:pStyle w:val="Titre2"/>
      </w:pPr>
      <w:bookmarkStart w:id="4" w:name="_Toc211329654"/>
      <w:r>
        <w:t>2.3. Le contrôle des changes.</w:t>
      </w:r>
      <w:bookmarkEnd w:id="4"/>
    </w:p>
    <w:p w:rsidR="002E531E" w:rsidRDefault="002E531E" w:rsidP="002E531E"/>
    <w:tbl>
      <w:tblPr>
        <w:tblW w:w="9838" w:type="dxa"/>
        <w:tblCellSpacing w:w="15" w:type="dxa"/>
        <w:tblCellMar>
          <w:top w:w="15" w:type="dxa"/>
          <w:left w:w="15" w:type="dxa"/>
          <w:bottom w:w="15" w:type="dxa"/>
          <w:right w:w="15" w:type="dxa"/>
        </w:tblCellMar>
        <w:tblLook w:val="04A0"/>
      </w:tblPr>
      <w:tblGrid>
        <w:gridCol w:w="9838"/>
      </w:tblGrid>
      <w:tr w:rsidR="00C1182F" w:rsidRPr="00C1182F" w:rsidTr="00C1182F">
        <w:trPr>
          <w:trHeight w:val="1034"/>
          <w:tblCellSpacing w:w="15" w:type="dxa"/>
        </w:trPr>
        <w:tc>
          <w:tcPr>
            <w:tcW w:w="9778" w:type="dxa"/>
            <w:vAlign w:val="center"/>
            <w:hideMark/>
          </w:tcPr>
          <w:p w:rsidR="00C1182F" w:rsidRPr="00C1182F" w:rsidRDefault="00C1182F" w:rsidP="00C1182F">
            <w:pPr>
              <w:spacing w:beforeAutospacing="1" w:afterAutospacing="1"/>
              <w:rPr>
                <w:rFonts w:eastAsia="Times New Roman"/>
                <w:color w:val="333333"/>
                <w:szCs w:val="24"/>
                <w:lang w:eastAsia="fr-FR"/>
              </w:rPr>
            </w:pPr>
            <w:r w:rsidRPr="00C1182F">
              <w:rPr>
                <w:rFonts w:eastAsia="Times New Roman"/>
                <w:color w:val="333333"/>
                <w:szCs w:val="24"/>
                <w:lang w:eastAsia="fr-FR"/>
              </w:rPr>
              <w:t xml:space="preserve">On assiste depuis les années 1980 à une </w:t>
            </w:r>
            <w:r w:rsidRPr="00C1182F">
              <w:rPr>
                <w:rFonts w:eastAsia="Times New Roman"/>
                <w:b/>
                <w:bCs/>
                <w:color w:val="800000"/>
                <w:lang w:eastAsia="fr-FR"/>
              </w:rPr>
              <w:t>déréglementation financière</w:t>
            </w:r>
            <w:r w:rsidRPr="00C1182F">
              <w:rPr>
                <w:rFonts w:eastAsia="Times New Roman"/>
                <w:color w:val="333333"/>
                <w:szCs w:val="24"/>
                <w:lang w:eastAsia="fr-FR"/>
              </w:rPr>
              <w:t>, avec la suppression des monopoles, l’ouverture des frontières aux capitaux étrangers, et la suppression du contrôle des changes.</w:t>
            </w:r>
          </w:p>
          <w:p w:rsidR="00C1182F" w:rsidRPr="00C1182F" w:rsidRDefault="00C1182F" w:rsidP="00C1182F">
            <w:pPr>
              <w:spacing w:beforeAutospacing="1" w:afterAutospacing="1"/>
              <w:rPr>
                <w:rFonts w:eastAsia="Times New Roman"/>
                <w:color w:val="333333"/>
                <w:szCs w:val="24"/>
                <w:lang w:eastAsia="fr-FR"/>
              </w:rPr>
            </w:pPr>
            <w:r w:rsidRPr="00C1182F">
              <w:rPr>
                <w:rFonts w:eastAsia="Times New Roman"/>
                <w:color w:val="333333"/>
                <w:szCs w:val="24"/>
                <w:lang w:eastAsia="fr-FR"/>
              </w:rPr>
              <w:t xml:space="preserve">Le cours de la monnaie d’un pays peut être contrôlé, par l’action de la </w:t>
            </w:r>
            <w:r w:rsidRPr="00C1182F">
              <w:rPr>
                <w:rFonts w:eastAsia="Times New Roman"/>
                <w:b/>
                <w:bCs/>
                <w:color w:val="800000"/>
                <w:lang w:eastAsia="fr-FR"/>
              </w:rPr>
              <w:t>banque centrale</w:t>
            </w:r>
            <w:r w:rsidRPr="00C1182F">
              <w:rPr>
                <w:rFonts w:eastAsia="Times New Roman"/>
                <w:color w:val="333333"/>
                <w:szCs w:val="24"/>
                <w:lang w:eastAsia="fr-FR"/>
              </w:rPr>
              <w:t xml:space="preserve"> du pays en question, qui régule la quantité de monnaie disponible et donc le cours de cette monnaie (d’après la loi de l’offre et de la demande) : c’est le </w:t>
            </w:r>
            <w:r w:rsidRPr="00C1182F">
              <w:rPr>
                <w:rFonts w:eastAsia="Times New Roman"/>
                <w:b/>
                <w:bCs/>
                <w:color w:val="800000"/>
                <w:lang w:eastAsia="fr-FR"/>
              </w:rPr>
              <w:t>contrôle des changes</w:t>
            </w:r>
            <w:r w:rsidRPr="00C1182F">
              <w:rPr>
                <w:rFonts w:eastAsia="Times New Roman"/>
                <w:color w:val="333333"/>
                <w:szCs w:val="24"/>
                <w:lang w:eastAsia="fr-FR"/>
              </w:rPr>
              <w:t>.</w:t>
            </w:r>
          </w:p>
        </w:tc>
      </w:tr>
    </w:tbl>
    <w:p w:rsidR="00C1182F" w:rsidRPr="00C1182F" w:rsidRDefault="00C1182F" w:rsidP="00C1182F">
      <w:pPr>
        <w:rPr>
          <w:rFonts w:ascii="Georgia" w:eastAsia="Times New Roman" w:hAnsi="Georgia"/>
          <w:vanish/>
          <w:color w:val="666666"/>
          <w:szCs w:val="24"/>
          <w:lang w:eastAsia="fr-FR"/>
        </w:rPr>
      </w:pPr>
    </w:p>
    <w:tbl>
      <w:tblPr>
        <w:tblW w:w="9793" w:type="dxa"/>
        <w:tblCellSpacing w:w="15" w:type="dxa"/>
        <w:tblCellMar>
          <w:top w:w="15" w:type="dxa"/>
          <w:left w:w="15" w:type="dxa"/>
          <w:bottom w:w="15" w:type="dxa"/>
          <w:right w:w="15" w:type="dxa"/>
        </w:tblCellMar>
        <w:tblLook w:val="04A0"/>
      </w:tblPr>
      <w:tblGrid>
        <w:gridCol w:w="4858"/>
        <w:gridCol w:w="4935"/>
      </w:tblGrid>
      <w:tr w:rsidR="00C1182F" w:rsidRPr="00C1182F" w:rsidTr="00C1182F">
        <w:trPr>
          <w:trHeight w:val="3222"/>
          <w:tblCellSpacing w:w="15" w:type="dxa"/>
        </w:trPr>
        <w:tc>
          <w:tcPr>
            <w:tcW w:w="4893" w:type="dxa"/>
            <w:vAlign w:val="center"/>
            <w:hideMark/>
          </w:tcPr>
          <w:p w:rsidR="00C1182F" w:rsidRPr="00C1182F" w:rsidRDefault="00C1182F" w:rsidP="00C1182F">
            <w:pPr>
              <w:spacing w:before="100" w:beforeAutospacing="1" w:after="100" w:afterAutospacing="1"/>
              <w:rPr>
                <w:rFonts w:eastAsia="Times New Roman"/>
                <w:color w:val="333333"/>
                <w:szCs w:val="24"/>
                <w:lang w:eastAsia="fr-FR"/>
              </w:rPr>
            </w:pPr>
            <w:r w:rsidRPr="00C1182F">
              <w:rPr>
                <w:rFonts w:eastAsia="Times New Roman"/>
                <w:color w:val="333333"/>
                <w:szCs w:val="24"/>
                <w:lang w:eastAsia="fr-FR"/>
              </w:rPr>
              <w:lastRenderedPageBreak/>
              <w:t xml:space="preserve">La suppression du contrôle des changes se traduit par le fait que la banque centrale laisse dans une certaine mesure le marché décider de la valeur de sa monnaie, ce qui facilite les échanges de cette monnaie. </w:t>
            </w:r>
          </w:p>
          <w:p w:rsidR="00C1182F" w:rsidRPr="00C1182F" w:rsidRDefault="00C1182F" w:rsidP="00C1182F">
            <w:pPr>
              <w:spacing w:beforeAutospacing="1" w:afterAutospacing="1"/>
              <w:rPr>
                <w:rFonts w:eastAsia="Times New Roman"/>
                <w:color w:val="333333"/>
                <w:szCs w:val="24"/>
                <w:lang w:eastAsia="fr-FR"/>
              </w:rPr>
            </w:pPr>
            <w:r w:rsidRPr="00C1182F">
              <w:rPr>
                <w:rFonts w:eastAsia="Times New Roman"/>
                <w:color w:val="333333"/>
                <w:szCs w:val="24"/>
                <w:lang w:eastAsia="fr-FR"/>
              </w:rPr>
              <w:t xml:space="preserve">De plus, on facilite l’accès des investisseurs étrangers au marché local, ce qui se traduit par des </w:t>
            </w:r>
            <w:r w:rsidRPr="00C1182F">
              <w:rPr>
                <w:rFonts w:eastAsia="Times New Roman"/>
                <w:b/>
                <w:bCs/>
                <w:color w:val="800000"/>
                <w:lang w:eastAsia="fr-FR"/>
              </w:rPr>
              <w:t>investissements directs à l’étranger</w:t>
            </w:r>
            <w:r w:rsidRPr="00C1182F">
              <w:rPr>
                <w:rFonts w:eastAsia="Times New Roman"/>
                <w:color w:val="333333"/>
                <w:szCs w:val="24"/>
                <w:lang w:eastAsia="fr-FR"/>
              </w:rPr>
              <w:t xml:space="preserve"> (IDE), ou des </w:t>
            </w:r>
            <w:r w:rsidRPr="00C1182F">
              <w:rPr>
                <w:rFonts w:eastAsia="Times New Roman"/>
                <w:b/>
                <w:bCs/>
                <w:color w:val="800000"/>
                <w:lang w:eastAsia="fr-FR"/>
              </w:rPr>
              <w:t>investissements dans les marchés financiers</w:t>
            </w:r>
            <w:r w:rsidRPr="00C1182F">
              <w:rPr>
                <w:rFonts w:eastAsia="Times New Roman"/>
                <w:color w:val="333333"/>
                <w:szCs w:val="24"/>
                <w:lang w:eastAsia="fr-FR"/>
              </w:rPr>
              <w:t xml:space="preserve"> (prise de participation dans les entreprises par achat d’actions).</w:t>
            </w:r>
          </w:p>
        </w:tc>
        <w:tc>
          <w:tcPr>
            <w:tcW w:w="4810" w:type="dxa"/>
            <w:vAlign w:val="center"/>
            <w:hideMark/>
          </w:tcPr>
          <w:p w:rsidR="00C1182F" w:rsidRPr="00C1182F" w:rsidRDefault="00C1182F" w:rsidP="00C1182F">
            <w:pPr>
              <w:jc w:val="right"/>
              <w:rPr>
                <w:rFonts w:ascii="Georgia" w:eastAsia="Times New Roman" w:hAnsi="Georgia"/>
                <w:color w:val="666666"/>
                <w:szCs w:val="24"/>
                <w:lang w:eastAsia="fr-FR"/>
              </w:rPr>
            </w:pPr>
            <w:r>
              <w:rPr>
                <w:rFonts w:ascii="Georgia" w:eastAsia="Times New Roman" w:hAnsi="Georgia"/>
                <w:noProof/>
                <w:color w:val="666666"/>
                <w:szCs w:val="24"/>
                <w:lang w:eastAsia="fr-FR"/>
              </w:rPr>
              <w:drawing>
                <wp:inline distT="0" distB="0" distL="0" distR="0">
                  <wp:extent cx="3057525" cy="2362200"/>
                  <wp:effectExtent l="19050" t="0" r="9525" b="0"/>
                  <wp:docPr id="11" name="Image 11" descr="D:\JANUARIO Carlos\Mon travail\IUT en Ligne\Modulest\ModXML6\modsrc\FIN-INTER-01\Chapitre-02\Banque-Centrale-Europee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JANUARIO Carlos\Mon travail\IUT en Ligne\Modulest\ModXML6\modsrc\FIN-INTER-01\Chapitre-02\Banque-Centrale-Europeenne.jpg"/>
                          <pic:cNvPicPr>
                            <a:picLocks noChangeAspect="1" noChangeArrowheads="1"/>
                          </pic:cNvPicPr>
                        </pic:nvPicPr>
                        <pic:blipFill>
                          <a:blip r:embed="rId17"/>
                          <a:srcRect/>
                          <a:stretch>
                            <a:fillRect/>
                          </a:stretch>
                        </pic:blipFill>
                        <pic:spPr bwMode="auto">
                          <a:xfrm>
                            <a:off x="0" y="0"/>
                            <a:ext cx="3057525" cy="2362200"/>
                          </a:xfrm>
                          <a:prstGeom prst="rect">
                            <a:avLst/>
                          </a:prstGeom>
                          <a:noFill/>
                          <a:ln w="9525">
                            <a:noFill/>
                            <a:miter lim="800000"/>
                            <a:headEnd/>
                            <a:tailEnd/>
                          </a:ln>
                        </pic:spPr>
                      </pic:pic>
                    </a:graphicData>
                  </a:graphic>
                </wp:inline>
              </w:drawing>
            </w:r>
          </w:p>
        </w:tc>
      </w:tr>
    </w:tbl>
    <w:p w:rsidR="00C1182F" w:rsidRPr="00C1182F" w:rsidRDefault="00C1182F" w:rsidP="00C1182F">
      <w:pPr>
        <w:rPr>
          <w:rFonts w:ascii="Georgia" w:eastAsia="Times New Roman" w:hAnsi="Georgia"/>
          <w:vanish/>
          <w:color w:val="666666"/>
          <w:szCs w:val="24"/>
          <w:lang w:eastAsia="fr-FR"/>
        </w:rPr>
      </w:pPr>
    </w:p>
    <w:tbl>
      <w:tblPr>
        <w:tblW w:w="9748" w:type="dxa"/>
        <w:tblCellSpacing w:w="15" w:type="dxa"/>
        <w:tblCellMar>
          <w:top w:w="15" w:type="dxa"/>
          <w:left w:w="15" w:type="dxa"/>
          <w:bottom w:w="15" w:type="dxa"/>
          <w:right w:w="15" w:type="dxa"/>
        </w:tblCellMar>
        <w:tblLook w:val="04A0"/>
      </w:tblPr>
      <w:tblGrid>
        <w:gridCol w:w="9748"/>
      </w:tblGrid>
      <w:tr w:rsidR="00C1182F" w:rsidRPr="00C1182F" w:rsidTr="00C1182F">
        <w:trPr>
          <w:trHeight w:val="205"/>
          <w:tblCellSpacing w:w="15" w:type="dxa"/>
        </w:trPr>
        <w:tc>
          <w:tcPr>
            <w:tcW w:w="9688" w:type="dxa"/>
            <w:vAlign w:val="center"/>
            <w:hideMark/>
          </w:tcPr>
          <w:p w:rsidR="00C1182F" w:rsidRPr="00C1182F" w:rsidRDefault="00C1182F" w:rsidP="00C1182F">
            <w:pPr>
              <w:divId w:val="2106997978"/>
              <w:rPr>
                <w:rFonts w:eastAsia="Times New Roman"/>
                <w:color w:val="666666"/>
                <w:szCs w:val="24"/>
                <w:lang w:eastAsia="fr-FR"/>
              </w:rPr>
            </w:pPr>
            <w:r w:rsidRPr="00C1182F">
              <w:rPr>
                <w:rFonts w:eastAsia="Times New Roman"/>
                <w:color w:val="333333"/>
                <w:szCs w:val="24"/>
                <w:lang w:eastAsia="fr-FR"/>
              </w:rPr>
              <w:t xml:space="preserve">Ainsi, désormais, hors du contrôle des gouvernements et des banques centrales, </w:t>
            </w:r>
            <w:r w:rsidRPr="00C1182F">
              <w:rPr>
                <w:rFonts w:eastAsia="Times New Roman"/>
                <w:b/>
                <w:bCs/>
                <w:color w:val="800000"/>
                <w:lang w:eastAsia="fr-FR"/>
              </w:rPr>
              <w:t>1500 milliards de dollars de capitaux flottants se déplacent de pays en pays</w:t>
            </w:r>
            <w:r w:rsidRPr="00C1182F">
              <w:rPr>
                <w:rFonts w:eastAsia="Times New Roman"/>
                <w:color w:val="333333"/>
                <w:szCs w:val="24"/>
                <w:lang w:eastAsia="fr-FR"/>
              </w:rPr>
              <w:t>.</w:t>
            </w:r>
          </w:p>
        </w:tc>
      </w:tr>
    </w:tbl>
    <w:p w:rsidR="002E531E" w:rsidRDefault="002E531E" w:rsidP="002E531E"/>
    <w:p w:rsidR="002E531E" w:rsidRDefault="002E531E" w:rsidP="002E531E"/>
    <w:p w:rsidR="002E531E" w:rsidRDefault="002E531E" w:rsidP="002E531E">
      <w:pPr>
        <w:pStyle w:val="Titre1"/>
      </w:pPr>
      <w:bookmarkStart w:id="5" w:name="_Toc211329655"/>
      <w:r>
        <w:t>3. La diffusion de l'information.</w:t>
      </w:r>
      <w:bookmarkEnd w:id="5"/>
    </w:p>
    <w:p w:rsidR="002E531E" w:rsidRDefault="002E531E" w:rsidP="002E531E"/>
    <w:tbl>
      <w:tblPr>
        <w:tblW w:w="9719" w:type="dxa"/>
        <w:tblCellSpacing w:w="0" w:type="dxa"/>
        <w:tblCellMar>
          <w:left w:w="0" w:type="dxa"/>
          <w:right w:w="0" w:type="dxa"/>
        </w:tblCellMar>
        <w:tblLook w:val="04A0"/>
      </w:tblPr>
      <w:tblGrid>
        <w:gridCol w:w="9719"/>
      </w:tblGrid>
      <w:tr w:rsidR="00263CD4" w:rsidTr="00263CD4">
        <w:trPr>
          <w:trHeight w:val="353"/>
          <w:tblCellSpacing w:w="0" w:type="dxa"/>
        </w:trPr>
        <w:tc>
          <w:tcPr>
            <w:tcW w:w="0" w:type="auto"/>
            <w:vAlign w:val="center"/>
            <w:hideMark/>
          </w:tcPr>
          <w:p w:rsidR="00263CD4" w:rsidRPr="00263CD4" w:rsidRDefault="00263CD4" w:rsidP="00263CD4">
            <w:pPr>
              <w:rPr>
                <w:color w:val="666666"/>
                <w:szCs w:val="24"/>
              </w:rPr>
            </w:pPr>
            <w:r w:rsidRPr="00263CD4">
              <w:rPr>
                <w:rStyle w:val="titreexercice1"/>
              </w:rPr>
              <w:t>Internet et les nouvelles technologies informatiques</w:t>
            </w:r>
            <w:r w:rsidRPr="00263CD4">
              <w:rPr>
                <w:rStyle w:val="couleure1"/>
              </w:rPr>
              <w:t xml:space="preserve"> ont permis une véritable révolution, permettant une meilleure diffusion de l’information et une meilleure communication.</w:t>
            </w:r>
          </w:p>
        </w:tc>
      </w:tr>
      <w:tr w:rsidR="00263CD4" w:rsidTr="00263CD4">
        <w:trPr>
          <w:trHeight w:val="196"/>
          <w:tblCellSpacing w:w="0" w:type="dxa"/>
        </w:trPr>
        <w:tc>
          <w:tcPr>
            <w:tcW w:w="0" w:type="auto"/>
            <w:vAlign w:val="center"/>
            <w:hideMark/>
          </w:tcPr>
          <w:p w:rsidR="00263CD4" w:rsidRPr="00263CD4" w:rsidRDefault="00263CD4">
            <w:pPr>
              <w:rPr>
                <w:color w:val="666666"/>
                <w:szCs w:val="24"/>
              </w:rPr>
            </w:pPr>
            <w:r w:rsidRPr="00263CD4">
              <w:rPr>
                <w:color w:val="666666"/>
              </w:rPr>
              <w:t> </w:t>
            </w:r>
          </w:p>
        </w:tc>
      </w:tr>
    </w:tbl>
    <w:p w:rsidR="00263CD4" w:rsidRDefault="00263CD4" w:rsidP="00263CD4">
      <w:pPr>
        <w:rPr>
          <w:rFonts w:ascii="Georgia" w:hAnsi="Georgia"/>
          <w:vanish/>
          <w:color w:val="666666"/>
        </w:rPr>
      </w:pPr>
    </w:p>
    <w:tbl>
      <w:tblPr>
        <w:tblW w:w="9719" w:type="dxa"/>
        <w:tblCellSpacing w:w="0" w:type="dxa"/>
        <w:tblCellMar>
          <w:left w:w="0" w:type="dxa"/>
          <w:right w:w="0" w:type="dxa"/>
        </w:tblCellMar>
        <w:tblLook w:val="04A0"/>
      </w:tblPr>
      <w:tblGrid>
        <w:gridCol w:w="5189"/>
        <w:gridCol w:w="4530"/>
      </w:tblGrid>
      <w:tr w:rsidR="00263CD4" w:rsidTr="00263CD4">
        <w:trPr>
          <w:trHeight w:val="5866"/>
          <w:tblCellSpacing w:w="0" w:type="dxa"/>
        </w:trPr>
        <w:tc>
          <w:tcPr>
            <w:tcW w:w="5315" w:type="dxa"/>
            <w:vAlign w:val="center"/>
            <w:hideMark/>
          </w:tcPr>
          <w:p w:rsidR="00263CD4" w:rsidRPr="00263CD4" w:rsidRDefault="00263CD4" w:rsidP="00263CD4">
            <w:pPr>
              <w:pStyle w:val="couleure"/>
              <w:jc w:val="both"/>
            </w:pPr>
            <w:r w:rsidRPr="00263CD4">
              <w:t>Ces évolutions ont permis aux entreprises de se diversifier et de se positionner dans plusieurs pays, à moindre coût. Une entreprise peut donc avoir son siège social à New York, son call center en Inde, ses usines en Chine, et exporter ses biens aux USA et en Europe. Elle devra donc gérer en permanence de l’USD, de la roupie indienne, du yuan chinois, de l’Euro.</w:t>
            </w:r>
          </w:p>
          <w:p w:rsidR="00263CD4" w:rsidRPr="00263CD4" w:rsidRDefault="00263CD4" w:rsidP="00263CD4">
            <w:pPr>
              <w:pStyle w:val="couleure"/>
              <w:spacing w:before="0" w:after="0"/>
              <w:jc w:val="both"/>
            </w:pPr>
            <w:r w:rsidRPr="00263CD4">
              <w:t xml:space="preserve">Elles ont eu un deuxième effet : accentuer la concurrence entre pays et entre places financières, qui cherchent à attirer le plus de capitaux possibles. La tendance est à la fusion entre </w:t>
            </w:r>
            <w:hyperlink r:id="rId18" w:tgtFrame="wclose" w:history="1">
              <w:r w:rsidRPr="00263CD4">
                <w:rPr>
                  <w:rStyle w:val="Lienhypertexte"/>
                  <w:b/>
                  <w:bCs/>
                  <w:color w:val="800000"/>
                  <w:shd w:val="clear" w:color="auto" w:fill="FFCC00"/>
                </w:rPr>
                <w:t>marchés financiers</w:t>
              </w:r>
            </w:hyperlink>
            <w:r w:rsidRPr="00263CD4">
              <w:t xml:space="preserve"> et à la constitution de plates formes technologiques communes (par exemple, la fusion entre Euronext, plate forme européenne, et le NYSE, plate forme de la bourse de New York). </w:t>
            </w:r>
          </w:p>
          <w:p w:rsidR="00263CD4" w:rsidRPr="00263CD4" w:rsidRDefault="00263CD4" w:rsidP="00263CD4">
            <w:pPr>
              <w:pStyle w:val="couleure"/>
              <w:jc w:val="both"/>
            </w:pPr>
            <w:r w:rsidRPr="00263CD4">
              <w:t xml:space="preserve">Ainsi, un investisseur français peut investir aux Etats-Unis directement sur le NYSE (le New York Stock Exchange), ou dans un fonds d’investissement spécialisé dans les pays émergents, en passant par son broker on line (type Boursorama), car les technologies le lui permettent. </w:t>
            </w:r>
          </w:p>
        </w:tc>
        <w:tc>
          <w:tcPr>
            <w:tcW w:w="4404" w:type="dxa"/>
            <w:vAlign w:val="center"/>
            <w:hideMark/>
          </w:tcPr>
          <w:p w:rsidR="00263CD4" w:rsidRDefault="00263CD4">
            <w:pPr>
              <w:jc w:val="right"/>
              <w:rPr>
                <w:rFonts w:ascii="Georgia" w:hAnsi="Georgia"/>
                <w:color w:val="666666"/>
                <w:szCs w:val="24"/>
              </w:rPr>
            </w:pPr>
            <w:r>
              <w:rPr>
                <w:rFonts w:ascii="Georgia" w:hAnsi="Georgia"/>
                <w:noProof/>
                <w:color w:val="666666"/>
                <w:lang w:eastAsia="fr-FR"/>
              </w:rPr>
              <w:drawing>
                <wp:inline distT="0" distB="0" distL="0" distR="0">
                  <wp:extent cx="2857500" cy="4038600"/>
                  <wp:effectExtent l="19050" t="0" r="0" b="0"/>
                  <wp:docPr id="13" name="Image 13" descr="D:\JANUARIO Carlos\Mon travail\IUT en Ligne\Modulest\ModXML6\modsrc\FIN-INTER-01\Chapitre-03\Nouvelles-technolog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JANUARIO Carlos\Mon travail\IUT en Ligne\Modulest\ModXML6\modsrc\FIN-INTER-01\Chapitre-03\Nouvelles-technologies.jpg"/>
                          <pic:cNvPicPr>
                            <a:picLocks noChangeAspect="1" noChangeArrowheads="1"/>
                          </pic:cNvPicPr>
                        </pic:nvPicPr>
                        <pic:blipFill>
                          <a:blip r:embed="rId19"/>
                          <a:srcRect/>
                          <a:stretch>
                            <a:fillRect/>
                          </a:stretch>
                        </pic:blipFill>
                        <pic:spPr bwMode="auto">
                          <a:xfrm>
                            <a:off x="0" y="0"/>
                            <a:ext cx="2857500" cy="4038600"/>
                          </a:xfrm>
                          <a:prstGeom prst="rect">
                            <a:avLst/>
                          </a:prstGeom>
                          <a:noFill/>
                          <a:ln w="9525">
                            <a:noFill/>
                            <a:miter lim="800000"/>
                            <a:headEnd/>
                            <a:tailEnd/>
                          </a:ln>
                        </pic:spPr>
                      </pic:pic>
                    </a:graphicData>
                  </a:graphic>
                </wp:inline>
              </w:drawing>
            </w:r>
          </w:p>
        </w:tc>
      </w:tr>
      <w:tr w:rsidR="00263CD4" w:rsidTr="00263CD4">
        <w:trPr>
          <w:trHeight w:val="269"/>
          <w:tblCellSpacing w:w="0" w:type="dxa"/>
        </w:trPr>
        <w:tc>
          <w:tcPr>
            <w:tcW w:w="0" w:type="auto"/>
            <w:vAlign w:val="center"/>
            <w:hideMark/>
          </w:tcPr>
          <w:p w:rsidR="00263CD4" w:rsidRPr="00263CD4" w:rsidRDefault="00263CD4" w:rsidP="00263CD4">
            <w:pPr>
              <w:rPr>
                <w:color w:val="666666"/>
                <w:szCs w:val="24"/>
              </w:rPr>
            </w:pPr>
            <w:r w:rsidRPr="00263CD4">
              <w:rPr>
                <w:color w:val="666666"/>
              </w:rPr>
              <w:t> </w:t>
            </w:r>
          </w:p>
        </w:tc>
        <w:tc>
          <w:tcPr>
            <w:tcW w:w="0" w:type="auto"/>
            <w:vAlign w:val="center"/>
            <w:hideMark/>
          </w:tcPr>
          <w:p w:rsidR="00263CD4" w:rsidRDefault="00263CD4">
            <w:pPr>
              <w:rPr>
                <w:rFonts w:ascii="Georgia" w:hAnsi="Georgia"/>
                <w:color w:val="666666"/>
                <w:szCs w:val="24"/>
              </w:rPr>
            </w:pPr>
            <w:r>
              <w:rPr>
                <w:rFonts w:ascii="Georgia" w:hAnsi="Georgia"/>
                <w:color w:val="666666"/>
              </w:rPr>
              <w:t> </w:t>
            </w:r>
          </w:p>
        </w:tc>
      </w:tr>
    </w:tbl>
    <w:p w:rsidR="00263CD4" w:rsidRDefault="00263CD4" w:rsidP="00263CD4">
      <w:pPr>
        <w:rPr>
          <w:rFonts w:ascii="Georgia" w:hAnsi="Georgia"/>
          <w:vanish/>
          <w:color w:val="666666"/>
        </w:rPr>
      </w:pPr>
    </w:p>
    <w:tbl>
      <w:tblPr>
        <w:tblW w:w="9734" w:type="dxa"/>
        <w:tblCellSpacing w:w="0" w:type="dxa"/>
        <w:tblCellMar>
          <w:left w:w="0" w:type="dxa"/>
          <w:right w:w="0" w:type="dxa"/>
        </w:tblCellMar>
        <w:tblLook w:val="04A0"/>
      </w:tblPr>
      <w:tblGrid>
        <w:gridCol w:w="9734"/>
      </w:tblGrid>
      <w:tr w:rsidR="00263CD4" w:rsidTr="00263CD4">
        <w:trPr>
          <w:trHeight w:val="411"/>
          <w:tblCellSpacing w:w="0" w:type="dxa"/>
        </w:trPr>
        <w:tc>
          <w:tcPr>
            <w:tcW w:w="0" w:type="auto"/>
            <w:vAlign w:val="center"/>
            <w:hideMark/>
          </w:tcPr>
          <w:p w:rsidR="00263CD4" w:rsidRPr="00263CD4" w:rsidRDefault="00263CD4">
            <w:pPr>
              <w:divId w:val="135225848"/>
              <w:rPr>
                <w:color w:val="666666"/>
                <w:szCs w:val="24"/>
              </w:rPr>
            </w:pPr>
            <w:r w:rsidRPr="00263CD4">
              <w:rPr>
                <w:rStyle w:val="couleure1"/>
              </w:rPr>
              <w:t>Prenons l’exemple d’un fonds d’investissement : le manager du fonds peut décider à Londres d’investir dans une action cotée et échangée à Kuala Lumpur. Instantanément l’action sera achetée et l’opération sera enregistrée au Luxembourg où le fonds est domicilié (et donc où sa comptabilité est effectuée). L’information a par conséquent fait le tour de la terre, presque instantanément.</w:t>
            </w:r>
          </w:p>
        </w:tc>
      </w:tr>
    </w:tbl>
    <w:p w:rsidR="002E531E" w:rsidRDefault="002E531E" w:rsidP="002E531E"/>
    <w:p w:rsidR="002E531E" w:rsidRDefault="002E531E" w:rsidP="002E531E"/>
    <w:p w:rsidR="002E531E" w:rsidRDefault="002E531E" w:rsidP="002E531E"/>
    <w:p w:rsidR="002E531E" w:rsidRDefault="002E531E" w:rsidP="002E531E">
      <w:pPr>
        <w:pStyle w:val="Titre1"/>
      </w:pPr>
      <w:bookmarkStart w:id="6" w:name="_Toc211329656"/>
      <w:r>
        <w:lastRenderedPageBreak/>
        <w:t>4. L'augmentation des transactions internationales.</w:t>
      </w:r>
      <w:bookmarkEnd w:id="6"/>
    </w:p>
    <w:p w:rsidR="002E531E" w:rsidRDefault="002E531E" w:rsidP="002E531E"/>
    <w:p w:rsidR="005274E7" w:rsidRPr="005274E7" w:rsidRDefault="005274E7" w:rsidP="005274E7">
      <w:pPr>
        <w:pStyle w:val="couleure"/>
        <w:spacing w:before="0" w:beforeAutospacing="0"/>
        <w:jc w:val="both"/>
      </w:pPr>
      <w:r w:rsidRPr="005274E7">
        <w:t xml:space="preserve">Les conséquences de la déréglementation des échanges et de la diffusion facilitée de l’information sont une </w:t>
      </w:r>
      <w:r w:rsidRPr="005274E7">
        <w:rPr>
          <w:rStyle w:val="titreexercice1"/>
        </w:rPr>
        <w:t>augmentation des transactions internationales</w:t>
      </w:r>
      <w:r w:rsidRPr="005274E7">
        <w:t>.</w:t>
      </w:r>
    </w:p>
    <w:p w:rsidR="005274E7" w:rsidRPr="005274E7" w:rsidRDefault="005274E7" w:rsidP="005274E7">
      <w:pPr>
        <w:pStyle w:val="couleure"/>
        <w:jc w:val="both"/>
      </w:pPr>
      <w:r w:rsidRPr="005274E7">
        <w:t>Le montant quotidien des capitaux flottants, qui passent d’un pays à un autre, est supérieur à 1500 milliards de dollars. Les importations et exportations ont augmenté de manière très importante.</w:t>
      </w:r>
    </w:p>
    <w:p w:rsidR="005274E7" w:rsidRPr="005274E7" w:rsidRDefault="005274E7" w:rsidP="005274E7">
      <w:pPr>
        <w:pStyle w:val="couleure"/>
        <w:jc w:val="both"/>
      </w:pPr>
      <w:r w:rsidRPr="005274E7">
        <w:t>Prenons l’exemple des Etats-Unis :</w:t>
      </w:r>
    </w:p>
    <w:tbl>
      <w:tblPr>
        <w:tblW w:w="9688" w:type="dxa"/>
        <w:tblCellSpacing w:w="15" w:type="dxa"/>
        <w:tblCellMar>
          <w:top w:w="15" w:type="dxa"/>
          <w:left w:w="15" w:type="dxa"/>
          <w:bottom w:w="15" w:type="dxa"/>
          <w:right w:w="15" w:type="dxa"/>
        </w:tblCellMar>
        <w:tblLook w:val="04A0"/>
      </w:tblPr>
      <w:tblGrid>
        <w:gridCol w:w="9429"/>
        <w:gridCol w:w="259"/>
      </w:tblGrid>
      <w:tr w:rsidR="005274E7" w:rsidRPr="005274E7" w:rsidTr="005274E7">
        <w:trPr>
          <w:trHeight w:val="931"/>
          <w:tblCellSpacing w:w="15" w:type="dxa"/>
        </w:trPr>
        <w:tc>
          <w:tcPr>
            <w:tcW w:w="0" w:type="auto"/>
            <w:vAlign w:val="center"/>
            <w:hideMark/>
          </w:tcPr>
          <w:p w:rsidR="005274E7" w:rsidRPr="005274E7" w:rsidRDefault="005274E7">
            <w:pPr>
              <w:jc w:val="center"/>
              <w:rPr>
                <w:color w:val="333333"/>
                <w:szCs w:val="24"/>
              </w:rPr>
            </w:pPr>
            <w:r w:rsidRPr="005274E7">
              <w:rPr>
                <w:noProof/>
                <w:color w:val="333333"/>
                <w:lang w:eastAsia="fr-FR"/>
              </w:rPr>
              <w:drawing>
                <wp:inline distT="0" distB="0" distL="0" distR="0">
                  <wp:extent cx="2476500" cy="942975"/>
                  <wp:effectExtent l="19050" t="0" r="0" b="0"/>
                  <wp:docPr id="15" name="Image 15" descr="D:\JANUARIO Carlos\Mon travail\IUT en Ligne\Modulest\ModXML6\modsrc\FIN-INTER-01\Chapitre-04\Bal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JANUARIO Carlos\Mon travail\IUT en Ligne\Modulest\ModXML6\modsrc\FIN-INTER-01\Chapitre-04\Balance.gif"/>
                          <pic:cNvPicPr>
                            <a:picLocks noChangeAspect="1" noChangeArrowheads="1"/>
                          </pic:cNvPicPr>
                        </pic:nvPicPr>
                        <pic:blipFill>
                          <a:blip r:embed="rId20"/>
                          <a:srcRect/>
                          <a:stretch>
                            <a:fillRect/>
                          </a:stretch>
                        </pic:blipFill>
                        <pic:spPr bwMode="auto">
                          <a:xfrm>
                            <a:off x="0" y="0"/>
                            <a:ext cx="2476500" cy="942975"/>
                          </a:xfrm>
                          <a:prstGeom prst="rect">
                            <a:avLst/>
                          </a:prstGeom>
                          <a:noFill/>
                          <a:ln w="9525">
                            <a:noFill/>
                            <a:miter lim="800000"/>
                            <a:headEnd/>
                            <a:tailEnd/>
                          </a:ln>
                        </pic:spPr>
                      </pic:pic>
                    </a:graphicData>
                  </a:graphic>
                </wp:inline>
              </w:drawing>
            </w:r>
          </w:p>
        </w:tc>
        <w:tc>
          <w:tcPr>
            <w:tcW w:w="0" w:type="auto"/>
            <w:vAlign w:val="center"/>
            <w:hideMark/>
          </w:tcPr>
          <w:p w:rsidR="005274E7" w:rsidRPr="005274E7" w:rsidRDefault="005274E7">
            <w:pPr>
              <w:rPr>
                <w:color w:val="666666"/>
                <w:szCs w:val="24"/>
              </w:rPr>
            </w:pPr>
            <w:r w:rsidRPr="005274E7">
              <w:rPr>
                <w:color w:val="666666"/>
              </w:rPr>
              <w:t> </w:t>
            </w:r>
          </w:p>
        </w:tc>
      </w:tr>
      <w:tr w:rsidR="005274E7" w:rsidRPr="005274E7" w:rsidTr="005274E7">
        <w:trPr>
          <w:trHeight w:val="169"/>
          <w:tblCellSpacing w:w="15" w:type="dxa"/>
        </w:trPr>
        <w:tc>
          <w:tcPr>
            <w:tcW w:w="0" w:type="auto"/>
            <w:gridSpan w:val="2"/>
            <w:vAlign w:val="center"/>
            <w:hideMark/>
          </w:tcPr>
          <w:p w:rsidR="005274E7" w:rsidRPr="005274E7" w:rsidRDefault="0020410F">
            <w:pPr>
              <w:jc w:val="center"/>
              <w:rPr>
                <w:color w:val="333333"/>
                <w:szCs w:val="24"/>
              </w:rPr>
            </w:pPr>
            <w:hyperlink r:id="rId21" w:tgtFrame="_blank" w:history="1">
              <w:r w:rsidR="005274E7" w:rsidRPr="005274E7">
                <w:rPr>
                  <w:rStyle w:val="Lienhypertexte"/>
                  <w:b/>
                  <w:bCs/>
                  <w:color w:val="800000"/>
                  <w:shd w:val="clear" w:color="auto" w:fill="FFCC00"/>
                </w:rPr>
                <w:t>http://www.census.gov/foreign-trade/balance/c0004.html#2008</w:t>
              </w:r>
            </w:hyperlink>
          </w:p>
        </w:tc>
      </w:tr>
    </w:tbl>
    <w:p w:rsidR="005274E7" w:rsidRPr="005274E7" w:rsidRDefault="005274E7" w:rsidP="005274E7">
      <w:pPr>
        <w:pStyle w:val="couleure"/>
        <w:jc w:val="both"/>
      </w:pPr>
      <w:r w:rsidRPr="005274E7">
        <w:t xml:space="preserve">Les entreprises ont à gérer des transactions dans plusieurs devises : pour régler un achat de matière première, quand leurs ventes sont payées en devise étrangère en cas d’exportation, afin de s’installer dans un pays. </w:t>
      </w:r>
    </w:p>
    <w:p w:rsidR="005274E7" w:rsidRPr="005274E7" w:rsidRDefault="005274E7" w:rsidP="005274E7">
      <w:pPr>
        <w:pStyle w:val="couleure"/>
        <w:jc w:val="both"/>
      </w:pPr>
      <w:r w:rsidRPr="005274E7">
        <w:t>Une agence de voyage proposant des circuits touristiques au Maroc devra surement payer ses fournisseurs locaux en Dirham. Un fabriquant de meubles devra payer son bois suédois en couronne suédoise. Une chaine de vêtements devra se fournir ou faire fabriquer en Chine et donc payer en yuan. La finance internationale est donc un enjeu de plus en plus stratégique.</w:t>
      </w:r>
    </w:p>
    <w:p w:rsidR="002E531E" w:rsidRDefault="002E531E" w:rsidP="002E531E"/>
    <w:p w:rsidR="002E531E" w:rsidRDefault="002E531E" w:rsidP="002E531E">
      <w:pPr>
        <w:pStyle w:val="Titre1"/>
      </w:pPr>
      <w:bookmarkStart w:id="7" w:name="_Toc211329657"/>
      <w:r>
        <w:t>5. L'environnement monétaire international.</w:t>
      </w:r>
      <w:bookmarkEnd w:id="7"/>
    </w:p>
    <w:p w:rsidR="002E531E" w:rsidRDefault="002E531E" w:rsidP="002E531E"/>
    <w:p w:rsidR="002E531E" w:rsidRDefault="002E531E" w:rsidP="002E531E">
      <w:pPr>
        <w:pStyle w:val="Titre2"/>
      </w:pPr>
      <w:bookmarkStart w:id="8" w:name="_Toc211329658"/>
      <w:r>
        <w:t>5.1. Historique.</w:t>
      </w:r>
      <w:bookmarkEnd w:id="8"/>
    </w:p>
    <w:p w:rsidR="002E531E" w:rsidRDefault="002E531E" w:rsidP="002E531E"/>
    <w:p w:rsidR="005274E7" w:rsidRPr="005274E7" w:rsidRDefault="005274E7" w:rsidP="005274E7">
      <w:pPr>
        <w:pStyle w:val="titreexercice"/>
        <w:jc w:val="both"/>
      </w:pPr>
      <w:r w:rsidRPr="005274E7">
        <w:rPr>
          <w:rStyle w:val="lev"/>
          <w:b/>
          <w:bCs/>
        </w:rPr>
        <w:t>1876-1913 : l’étalon or</w:t>
      </w:r>
    </w:p>
    <w:p w:rsidR="005274E7" w:rsidRPr="005274E7" w:rsidRDefault="005274E7" w:rsidP="005274E7">
      <w:pPr>
        <w:pStyle w:val="couleure"/>
        <w:jc w:val="both"/>
      </w:pPr>
      <w:r w:rsidRPr="005274E7">
        <w:rPr>
          <w:rStyle w:val="lev"/>
          <w:i/>
          <w:iCs/>
          <w:color w:val="800000"/>
          <w:bdr w:val="none" w:sz="0" w:space="0" w:color="auto" w:frame="1"/>
        </w:rPr>
        <w:t>L’or est utilisé comme monnaie de référence, ce qui garantit la monnaie</w:t>
      </w:r>
      <w:r w:rsidRPr="005274E7">
        <w:t>. Les états définissent leur monnaie par rapport  à l’or : une once d’or vaut 20.67 USD, 4,2474 Livre Sterling. Les taux de change sont donc fixes : il n’y a pas de risque de change. L’étalon or est basé sur la libre circulation des marchandises et la libre convertibilité des monnaies.</w:t>
      </w:r>
    </w:p>
    <w:p w:rsidR="005274E7" w:rsidRPr="005274E7" w:rsidRDefault="005274E7" w:rsidP="005274E7">
      <w:pPr>
        <w:pStyle w:val="titreexercice"/>
        <w:jc w:val="both"/>
      </w:pPr>
      <w:r w:rsidRPr="005274E7">
        <w:rPr>
          <w:rStyle w:val="lev"/>
          <w:b/>
          <w:bCs/>
        </w:rPr>
        <w:t>1914-1944 : l’étalon de change or</w:t>
      </w:r>
    </w:p>
    <w:p w:rsidR="005274E7" w:rsidRPr="005274E7" w:rsidRDefault="005274E7" w:rsidP="005274E7">
      <w:pPr>
        <w:pStyle w:val="couleure"/>
        <w:jc w:val="both"/>
      </w:pPr>
      <w:r w:rsidRPr="005274E7">
        <w:rPr>
          <w:rStyle w:val="lev"/>
          <w:i/>
          <w:iCs/>
          <w:color w:val="800000"/>
          <w:bdr w:val="none" w:sz="0" w:space="0" w:color="auto" w:frame="1"/>
        </w:rPr>
        <w:t>Les monnaies fluctuent par rapport au dollar et par rapport à l’or</w:t>
      </w:r>
      <w:r w:rsidRPr="005274E7">
        <w:t xml:space="preserve">. Sauf pour l’USD, les monnaies ne sont plus convertibles en or. Désormais, les stocks d’or mondiaux ne permettent plus de garantir la valeur des devises, puisque le stock d’or ne parvient pas à suivre la croissance du PIB (et donc de la monnaie en circulation). </w:t>
      </w:r>
    </w:p>
    <w:p w:rsidR="005274E7" w:rsidRPr="005274E7" w:rsidRDefault="005274E7" w:rsidP="005274E7">
      <w:pPr>
        <w:pStyle w:val="titreexercice"/>
        <w:jc w:val="both"/>
      </w:pPr>
      <w:r w:rsidRPr="005274E7">
        <w:rPr>
          <w:rStyle w:val="lev"/>
          <w:b/>
          <w:bCs/>
        </w:rPr>
        <w:t xml:space="preserve">1945-1976 : le système de Bretton Woods </w:t>
      </w:r>
    </w:p>
    <w:p w:rsidR="005274E7" w:rsidRDefault="005274E7" w:rsidP="005274E7">
      <w:pPr>
        <w:pStyle w:val="couleure"/>
        <w:jc w:val="both"/>
      </w:pPr>
      <w:r w:rsidRPr="005274E7">
        <w:rPr>
          <w:rStyle w:val="lev"/>
          <w:i/>
          <w:iCs/>
          <w:color w:val="800000"/>
          <w:bdr w:val="none" w:sz="0" w:space="0" w:color="auto" w:frame="1"/>
        </w:rPr>
        <w:t>Les monnaies sont fixes par rapport à l’or, seul le dollar est convertible en or</w:t>
      </w:r>
      <w:r w:rsidRPr="005274E7">
        <w:t>. Le dollar joue un rôle central, il est au centre du système et sert de monnaie de réserve : « dollar as good as gold ». Ce système est basé sur la confiance accordée au dollar.</w:t>
      </w:r>
    </w:p>
    <w:p w:rsidR="005274E7" w:rsidRDefault="005274E7" w:rsidP="005274E7">
      <w:pPr>
        <w:pStyle w:val="couleure"/>
        <w:jc w:val="both"/>
      </w:pPr>
    </w:p>
    <w:p w:rsidR="005274E7" w:rsidRPr="005274E7" w:rsidRDefault="005274E7" w:rsidP="005274E7">
      <w:pPr>
        <w:pStyle w:val="couleure"/>
        <w:jc w:val="both"/>
      </w:pPr>
    </w:p>
    <w:p w:rsidR="005274E7" w:rsidRPr="005274E7" w:rsidRDefault="005274E7" w:rsidP="005274E7">
      <w:pPr>
        <w:pStyle w:val="titreexercice"/>
        <w:jc w:val="both"/>
      </w:pPr>
      <w:r w:rsidRPr="005274E7">
        <w:rPr>
          <w:rStyle w:val="lev"/>
          <w:b/>
          <w:bCs/>
        </w:rPr>
        <w:lastRenderedPageBreak/>
        <w:t xml:space="preserve">Depuis 1976 : une désorganisation pragmatique </w:t>
      </w:r>
    </w:p>
    <w:p w:rsidR="005274E7" w:rsidRPr="005274E7" w:rsidRDefault="005274E7" w:rsidP="00C345AD">
      <w:pPr>
        <w:pStyle w:val="couleure"/>
        <w:spacing w:after="0" w:afterAutospacing="0"/>
        <w:jc w:val="both"/>
      </w:pPr>
      <w:r w:rsidRPr="005274E7">
        <w:rPr>
          <w:rStyle w:val="lev"/>
          <w:i/>
          <w:iCs/>
          <w:color w:val="800000"/>
          <w:bdr w:val="none" w:sz="0" w:space="0" w:color="auto" w:frame="1"/>
        </w:rPr>
        <w:t>Les européens créent le Système Monétaire Européen (le SME) afin de réduire la variabilité des monnaies européennes</w:t>
      </w:r>
      <w:r w:rsidRPr="005274E7">
        <w:t>, qui sont indexées sur l’ECU (basé sur un panier de monnaies européennes). En 1992, le traité de Maastricht introduit la Banque Centrale Européenne, qui prépare le passage à l’euro.</w:t>
      </w:r>
    </w:p>
    <w:p w:rsidR="002E531E" w:rsidRDefault="005274E7" w:rsidP="00C345AD">
      <w:pPr>
        <w:pStyle w:val="couleure"/>
        <w:spacing w:before="0" w:beforeAutospacing="0"/>
        <w:jc w:val="both"/>
      </w:pPr>
      <w:r w:rsidRPr="005274E7">
        <w:rPr>
          <w:rStyle w:val="lev"/>
          <w:i/>
          <w:iCs/>
          <w:color w:val="800000"/>
          <w:bdr w:val="none" w:sz="0" w:space="0" w:color="auto" w:frame="1"/>
        </w:rPr>
        <w:t>L’or est démonétarisé</w:t>
      </w:r>
      <w:r w:rsidRPr="005274E7">
        <w:t>, les taux de changes sont de plus en plus flexibles et les monnaies fluctuent de plus en plus. Le dollar garde son rôle de monnaie de réserve, et de nombreuses monnaies sont encore indexées sur le dollar.</w:t>
      </w:r>
    </w:p>
    <w:p w:rsidR="002E531E" w:rsidRDefault="002E531E" w:rsidP="002E531E">
      <w:pPr>
        <w:pStyle w:val="Titre2"/>
      </w:pPr>
      <w:bookmarkStart w:id="9" w:name="_Toc211329659"/>
      <w:r>
        <w:t>5.2. Situation actuelle.</w:t>
      </w:r>
      <w:bookmarkEnd w:id="9"/>
    </w:p>
    <w:p w:rsidR="002E531E" w:rsidRDefault="002E531E" w:rsidP="002E531E"/>
    <w:p w:rsidR="002E531E" w:rsidRDefault="002E531E" w:rsidP="002E531E">
      <w:pPr>
        <w:pStyle w:val="Titre3"/>
      </w:pPr>
      <w:bookmarkStart w:id="10" w:name="_Toc211329660"/>
      <w:r>
        <w:t>5.2.1. La zone Euro.</w:t>
      </w:r>
      <w:bookmarkEnd w:id="10"/>
    </w:p>
    <w:p w:rsidR="002E531E" w:rsidRDefault="002E531E" w:rsidP="002E531E"/>
    <w:tbl>
      <w:tblPr>
        <w:tblW w:w="9673" w:type="dxa"/>
        <w:tblCellSpacing w:w="15" w:type="dxa"/>
        <w:tblCellMar>
          <w:top w:w="15" w:type="dxa"/>
          <w:left w:w="15" w:type="dxa"/>
          <w:bottom w:w="15" w:type="dxa"/>
          <w:right w:w="15" w:type="dxa"/>
        </w:tblCellMar>
        <w:tblLook w:val="04A0"/>
      </w:tblPr>
      <w:tblGrid>
        <w:gridCol w:w="4933"/>
        <w:gridCol w:w="4740"/>
      </w:tblGrid>
      <w:tr w:rsidR="00C345AD" w:rsidRPr="00C345AD" w:rsidTr="00C345AD">
        <w:trPr>
          <w:trHeight w:val="4121"/>
          <w:tblCellSpacing w:w="15" w:type="dxa"/>
        </w:trPr>
        <w:tc>
          <w:tcPr>
            <w:tcW w:w="4888" w:type="dxa"/>
            <w:vAlign w:val="center"/>
            <w:hideMark/>
          </w:tcPr>
          <w:p w:rsidR="00C345AD" w:rsidRPr="00C345AD" w:rsidRDefault="00C345AD" w:rsidP="00C345AD">
            <w:pPr>
              <w:jc w:val="center"/>
              <w:rPr>
                <w:rFonts w:ascii="Georgia" w:eastAsia="Times New Roman" w:hAnsi="Georgia"/>
                <w:color w:val="666666"/>
                <w:szCs w:val="24"/>
                <w:lang w:eastAsia="fr-FR"/>
              </w:rPr>
            </w:pPr>
            <w:r>
              <w:rPr>
                <w:rFonts w:ascii="Georgia" w:eastAsia="Times New Roman" w:hAnsi="Georgia"/>
                <w:noProof/>
                <w:color w:val="666666"/>
                <w:szCs w:val="24"/>
                <w:lang w:eastAsia="fr-FR"/>
              </w:rPr>
              <w:drawing>
                <wp:inline distT="0" distB="0" distL="0" distR="0">
                  <wp:extent cx="2943225" cy="3615962"/>
                  <wp:effectExtent l="19050" t="0" r="9525" b="0"/>
                  <wp:docPr id="17" name="Image 17" descr="D:\JANUARIO Carlos\Mon travail\IUT en Ligne\Modulest\ModXML6\modsrc\FIN-INTER-01\Chapitre-05\Zone-e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JANUARIO Carlos\Mon travail\IUT en Ligne\Modulest\ModXML6\modsrc\FIN-INTER-01\Chapitre-05\Zone-euro.jpg"/>
                          <pic:cNvPicPr>
                            <a:picLocks noChangeAspect="1" noChangeArrowheads="1"/>
                          </pic:cNvPicPr>
                        </pic:nvPicPr>
                        <pic:blipFill>
                          <a:blip r:embed="rId22"/>
                          <a:srcRect/>
                          <a:stretch>
                            <a:fillRect/>
                          </a:stretch>
                        </pic:blipFill>
                        <pic:spPr bwMode="auto">
                          <a:xfrm>
                            <a:off x="0" y="0"/>
                            <a:ext cx="2943225" cy="3615962"/>
                          </a:xfrm>
                          <a:prstGeom prst="rect">
                            <a:avLst/>
                          </a:prstGeom>
                          <a:noFill/>
                          <a:ln w="9525">
                            <a:noFill/>
                            <a:miter lim="800000"/>
                            <a:headEnd/>
                            <a:tailEnd/>
                          </a:ln>
                        </pic:spPr>
                      </pic:pic>
                    </a:graphicData>
                  </a:graphic>
                </wp:inline>
              </w:drawing>
            </w:r>
          </w:p>
        </w:tc>
        <w:tc>
          <w:tcPr>
            <w:tcW w:w="4695" w:type="dxa"/>
            <w:vAlign w:val="center"/>
            <w:hideMark/>
          </w:tcPr>
          <w:p w:rsidR="00C345AD" w:rsidRPr="00C345AD" w:rsidRDefault="00C345AD" w:rsidP="00C345AD">
            <w:pPr>
              <w:spacing w:beforeAutospacing="1" w:afterAutospacing="1"/>
              <w:rPr>
                <w:rFonts w:eastAsia="Times New Roman"/>
                <w:color w:val="333333"/>
                <w:szCs w:val="24"/>
                <w:lang w:eastAsia="fr-FR"/>
              </w:rPr>
            </w:pPr>
            <w:r w:rsidRPr="00C345AD">
              <w:rPr>
                <w:rFonts w:eastAsia="Times New Roman"/>
                <w:color w:val="333333"/>
                <w:szCs w:val="24"/>
                <w:lang w:eastAsia="fr-FR"/>
              </w:rPr>
              <w:t xml:space="preserve">Quinze pays européens (France, Allemagne, Espagne, Portugal, Grèce, Belgique, Luxembourg, Hollande, Italie, Malte, Chypre, Slovénie, Irlande, Finlande, Autriche) forment la </w:t>
            </w:r>
            <w:r w:rsidRPr="00C345AD">
              <w:rPr>
                <w:rFonts w:eastAsia="Times New Roman"/>
                <w:b/>
                <w:bCs/>
                <w:color w:val="800000"/>
                <w:lang w:eastAsia="fr-FR"/>
              </w:rPr>
              <w:t>zone Euro</w:t>
            </w:r>
            <w:r w:rsidRPr="00C345AD">
              <w:rPr>
                <w:rFonts w:eastAsia="Times New Roman"/>
                <w:color w:val="333333"/>
                <w:szCs w:val="24"/>
                <w:lang w:eastAsia="fr-FR"/>
              </w:rPr>
              <w:t xml:space="preserve">. </w:t>
            </w:r>
          </w:p>
          <w:p w:rsidR="00C345AD" w:rsidRPr="00C345AD" w:rsidRDefault="00C345AD" w:rsidP="00C345AD">
            <w:pPr>
              <w:spacing w:before="100" w:beforeAutospacing="1" w:after="100" w:afterAutospacing="1"/>
              <w:rPr>
                <w:rFonts w:eastAsia="Times New Roman"/>
                <w:color w:val="333333"/>
                <w:szCs w:val="24"/>
                <w:lang w:eastAsia="fr-FR"/>
              </w:rPr>
            </w:pPr>
            <w:r w:rsidRPr="00C345AD">
              <w:rPr>
                <w:rFonts w:eastAsia="Times New Roman"/>
                <w:color w:val="333333"/>
                <w:szCs w:val="24"/>
                <w:lang w:eastAsia="fr-FR"/>
              </w:rPr>
              <w:t xml:space="preserve">D’autres pays (la Slovaquie, par exemple) sont amenés à suivre. </w:t>
            </w:r>
          </w:p>
          <w:p w:rsidR="00C345AD" w:rsidRPr="00C345AD" w:rsidRDefault="00C345AD" w:rsidP="00C345AD">
            <w:pPr>
              <w:spacing w:before="100" w:beforeAutospacing="1" w:after="100" w:afterAutospacing="1"/>
              <w:rPr>
                <w:rFonts w:eastAsia="Times New Roman"/>
                <w:color w:val="333333"/>
                <w:szCs w:val="24"/>
                <w:lang w:eastAsia="fr-FR"/>
              </w:rPr>
            </w:pPr>
            <w:r w:rsidRPr="00C345AD">
              <w:rPr>
                <w:rFonts w:eastAsia="Times New Roman"/>
                <w:color w:val="333333"/>
                <w:szCs w:val="24"/>
                <w:lang w:eastAsia="fr-FR"/>
              </w:rPr>
              <w:t>Le partage d’une monnaie commune a facilité le développement des échanges (il n’y a plus de risque de change, plus de nécessité de gérer plusieurs devises).</w:t>
            </w:r>
          </w:p>
        </w:tc>
      </w:tr>
    </w:tbl>
    <w:p w:rsidR="002E531E" w:rsidRDefault="002E531E" w:rsidP="002E531E"/>
    <w:p w:rsidR="002E531E" w:rsidRDefault="002E531E" w:rsidP="002E531E">
      <w:pPr>
        <w:pStyle w:val="Titre3"/>
      </w:pPr>
      <w:bookmarkStart w:id="11" w:name="_Toc211329661"/>
      <w:r>
        <w:t>5.2.2. La Banque Centrale Européenne.</w:t>
      </w:r>
      <w:bookmarkEnd w:id="11"/>
    </w:p>
    <w:p w:rsidR="002E531E" w:rsidRDefault="002E531E" w:rsidP="002E531E"/>
    <w:tbl>
      <w:tblPr>
        <w:tblW w:w="9717" w:type="dxa"/>
        <w:tblCellSpacing w:w="15" w:type="dxa"/>
        <w:tblCellMar>
          <w:top w:w="15" w:type="dxa"/>
          <w:left w:w="15" w:type="dxa"/>
          <w:bottom w:w="15" w:type="dxa"/>
          <w:right w:w="15" w:type="dxa"/>
        </w:tblCellMar>
        <w:tblLook w:val="04A0"/>
      </w:tblPr>
      <w:tblGrid>
        <w:gridCol w:w="5685"/>
        <w:gridCol w:w="4032"/>
      </w:tblGrid>
      <w:tr w:rsidR="00C345AD" w:rsidRPr="00C345AD" w:rsidTr="00C345AD">
        <w:trPr>
          <w:trHeight w:val="3662"/>
          <w:tblCellSpacing w:w="15" w:type="dxa"/>
        </w:trPr>
        <w:tc>
          <w:tcPr>
            <w:tcW w:w="5640" w:type="dxa"/>
            <w:vAlign w:val="center"/>
            <w:hideMark/>
          </w:tcPr>
          <w:p w:rsidR="00C345AD" w:rsidRPr="00C345AD" w:rsidRDefault="00C345AD" w:rsidP="00C345AD">
            <w:pPr>
              <w:spacing w:beforeAutospacing="1" w:afterAutospacing="1"/>
              <w:rPr>
                <w:rFonts w:eastAsia="Times New Roman"/>
                <w:color w:val="333333"/>
                <w:szCs w:val="24"/>
                <w:lang w:eastAsia="fr-FR"/>
              </w:rPr>
            </w:pPr>
            <w:r w:rsidRPr="00C345AD">
              <w:rPr>
                <w:rFonts w:eastAsia="Times New Roman"/>
                <w:color w:val="333333"/>
                <w:szCs w:val="24"/>
                <w:lang w:eastAsia="fr-FR"/>
              </w:rPr>
              <w:t xml:space="preserve">La </w:t>
            </w:r>
            <w:r w:rsidRPr="00C345AD">
              <w:rPr>
                <w:rFonts w:eastAsia="Times New Roman"/>
                <w:b/>
                <w:bCs/>
                <w:color w:val="800000"/>
                <w:lang w:eastAsia="fr-FR"/>
              </w:rPr>
              <w:t>Banque Centrale Européenne</w:t>
            </w:r>
            <w:r w:rsidRPr="00C345AD">
              <w:rPr>
                <w:rFonts w:eastAsia="Times New Roman"/>
                <w:color w:val="333333"/>
                <w:szCs w:val="24"/>
                <w:lang w:eastAsia="fr-FR"/>
              </w:rPr>
              <w:t xml:space="preserve"> définit les grandes orientations monétaires de la zone euro, en cherchant surtout à assurer une stabilité des prix, et en luttant contre l’inflation. </w:t>
            </w:r>
          </w:p>
          <w:p w:rsidR="00C345AD" w:rsidRPr="00C345AD" w:rsidRDefault="00C345AD" w:rsidP="00C345AD">
            <w:pPr>
              <w:spacing w:before="100" w:beforeAutospacing="1" w:after="100" w:afterAutospacing="1"/>
              <w:rPr>
                <w:rFonts w:eastAsia="Times New Roman"/>
                <w:color w:val="333333"/>
                <w:szCs w:val="24"/>
                <w:lang w:eastAsia="fr-FR"/>
              </w:rPr>
            </w:pPr>
            <w:r w:rsidRPr="00C345AD">
              <w:rPr>
                <w:rFonts w:eastAsia="Times New Roman"/>
                <w:color w:val="333333"/>
                <w:szCs w:val="24"/>
                <w:lang w:eastAsia="fr-FR"/>
              </w:rPr>
              <w:t xml:space="preserve">Ainsi, c’est elle qui fixe les taux directeurs (qui servent de base aux taux d’intérêt). </w:t>
            </w:r>
          </w:p>
          <w:p w:rsidR="00C345AD" w:rsidRPr="00C345AD" w:rsidRDefault="00C345AD" w:rsidP="00C345AD">
            <w:pPr>
              <w:spacing w:before="100" w:beforeAutospacing="1" w:after="100" w:afterAutospacing="1"/>
              <w:rPr>
                <w:rFonts w:eastAsia="Times New Roman"/>
                <w:color w:val="333333"/>
                <w:szCs w:val="24"/>
                <w:lang w:eastAsia="fr-FR"/>
              </w:rPr>
            </w:pPr>
            <w:r w:rsidRPr="00C345AD">
              <w:rPr>
                <w:rFonts w:eastAsia="Times New Roman"/>
                <w:color w:val="333333"/>
                <w:szCs w:val="24"/>
                <w:lang w:eastAsia="fr-FR"/>
              </w:rPr>
              <w:t xml:space="preserve">Elle gère la politique de change de l’euro, elle détient et gère les réserves de change des états membres et assure le bon fonctionnement des systèmes de paiement (ce qui assure la circulation de la monnaie). </w:t>
            </w:r>
          </w:p>
          <w:p w:rsidR="00C345AD" w:rsidRPr="00C345AD" w:rsidRDefault="00C345AD" w:rsidP="00C345AD">
            <w:pPr>
              <w:spacing w:before="100" w:beforeAutospacing="1" w:after="100" w:afterAutospacing="1"/>
              <w:rPr>
                <w:rFonts w:eastAsia="Times New Roman"/>
                <w:color w:val="333333"/>
                <w:szCs w:val="24"/>
                <w:lang w:eastAsia="fr-FR"/>
              </w:rPr>
            </w:pPr>
            <w:r w:rsidRPr="00C345AD">
              <w:rPr>
                <w:rFonts w:eastAsia="Times New Roman"/>
                <w:color w:val="333333"/>
                <w:szCs w:val="24"/>
                <w:lang w:eastAsia="fr-FR"/>
              </w:rPr>
              <w:t>Le refus de l’Angleterre par exemple d'entrer dans la zone Euro traduit entre autre une volonté de continuer à garder la main mise sur les leviers de sa politique monétaire.</w:t>
            </w:r>
          </w:p>
        </w:tc>
        <w:tc>
          <w:tcPr>
            <w:tcW w:w="3987" w:type="dxa"/>
            <w:vAlign w:val="center"/>
            <w:hideMark/>
          </w:tcPr>
          <w:p w:rsidR="00C345AD" w:rsidRPr="00C345AD" w:rsidRDefault="00C345AD" w:rsidP="00C345AD">
            <w:pPr>
              <w:jc w:val="center"/>
              <w:rPr>
                <w:rFonts w:ascii="Georgia" w:eastAsia="Times New Roman" w:hAnsi="Georgia"/>
                <w:color w:val="666666"/>
                <w:szCs w:val="24"/>
                <w:lang w:eastAsia="fr-FR"/>
              </w:rPr>
            </w:pPr>
            <w:r>
              <w:rPr>
                <w:rFonts w:ascii="Georgia" w:eastAsia="Times New Roman" w:hAnsi="Georgia"/>
                <w:noProof/>
                <w:color w:val="666666"/>
                <w:szCs w:val="24"/>
                <w:lang w:eastAsia="fr-FR"/>
              </w:rPr>
              <w:drawing>
                <wp:inline distT="0" distB="0" distL="0" distR="0">
                  <wp:extent cx="1912523" cy="2705100"/>
                  <wp:effectExtent l="19050" t="0" r="0" b="0"/>
                  <wp:docPr id="19" name="Image 19" descr="D:\JANUARIO Carlos\Mon travail\IUT en Ligne\Modulest\ModXML6\modsrc\FIN-INTER-01\Chapitre-05\B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JANUARIO Carlos\Mon travail\IUT en Ligne\Modulest\ModXML6\modsrc\FIN-INTER-01\Chapitre-05\BCE.jpg"/>
                          <pic:cNvPicPr>
                            <a:picLocks noChangeAspect="1" noChangeArrowheads="1"/>
                          </pic:cNvPicPr>
                        </pic:nvPicPr>
                        <pic:blipFill>
                          <a:blip r:embed="rId23"/>
                          <a:srcRect/>
                          <a:stretch>
                            <a:fillRect/>
                          </a:stretch>
                        </pic:blipFill>
                        <pic:spPr bwMode="auto">
                          <a:xfrm>
                            <a:off x="0" y="0"/>
                            <a:ext cx="1912523" cy="2705100"/>
                          </a:xfrm>
                          <a:prstGeom prst="rect">
                            <a:avLst/>
                          </a:prstGeom>
                          <a:noFill/>
                          <a:ln w="9525">
                            <a:noFill/>
                            <a:miter lim="800000"/>
                            <a:headEnd/>
                            <a:tailEnd/>
                          </a:ln>
                        </pic:spPr>
                      </pic:pic>
                    </a:graphicData>
                  </a:graphic>
                </wp:inline>
              </w:drawing>
            </w:r>
          </w:p>
        </w:tc>
      </w:tr>
    </w:tbl>
    <w:p w:rsidR="002E531E" w:rsidRDefault="002E531E" w:rsidP="002E531E">
      <w:pPr>
        <w:pStyle w:val="Titre3"/>
      </w:pPr>
      <w:bookmarkStart w:id="12" w:name="_Toc211329662"/>
      <w:r>
        <w:lastRenderedPageBreak/>
        <w:t>5.2.3. Le rôle du dollar.</w:t>
      </w:r>
      <w:bookmarkEnd w:id="12"/>
    </w:p>
    <w:p w:rsidR="002E531E" w:rsidRDefault="002E531E" w:rsidP="002E531E"/>
    <w:tbl>
      <w:tblPr>
        <w:tblW w:w="9748" w:type="dxa"/>
        <w:tblCellSpacing w:w="15" w:type="dxa"/>
        <w:tblCellMar>
          <w:top w:w="15" w:type="dxa"/>
          <w:left w:w="15" w:type="dxa"/>
          <w:bottom w:w="15" w:type="dxa"/>
          <w:right w:w="15" w:type="dxa"/>
        </w:tblCellMar>
        <w:tblLook w:val="04A0"/>
      </w:tblPr>
      <w:tblGrid>
        <w:gridCol w:w="5085"/>
        <w:gridCol w:w="4663"/>
      </w:tblGrid>
      <w:tr w:rsidR="007F6264" w:rsidRPr="007F6264" w:rsidTr="007F6264">
        <w:trPr>
          <w:trHeight w:val="2899"/>
          <w:tblCellSpacing w:w="15" w:type="dxa"/>
        </w:trPr>
        <w:tc>
          <w:tcPr>
            <w:tcW w:w="4690" w:type="dxa"/>
            <w:vAlign w:val="center"/>
            <w:hideMark/>
          </w:tcPr>
          <w:p w:rsidR="007F6264" w:rsidRPr="007F6264" w:rsidRDefault="007F6264" w:rsidP="007F6264">
            <w:pPr>
              <w:jc w:val="left"/>
              <w:rPr>
                <w:rFonts w:ascii="Georgia" w:eastAsia="Times New Roman" w:hAnsi="Georgia"/>
                <w:color w:val="666666"/>
                <w:szCs w:val="24"/>
                <w:lang w:eastAsia="fr-FR"/>
              </w:rPr>
            </w:pPr>
            <w:r>
              <w:rPr>
                <w:rFonts w:ascii="Georgia" w:eastAsia="Times New Roman" w:hAnsi="Georgia"/>
                <w:noProof/>
                <w:color w:val="666666"/>
                <w:szCs w:val="24"/>
                <w:lang w:eastAsia="fr-FR"/>
              </w:rPr>
              <w:drawing>
                <wp:inline distT="0" distB="0" distL="0" distR="0">
                  <wp:extent cx="3162300" cy="2371725"/>
                  <wp:effectExtent l="19050" t="0" r="0" b="0"/>
                  <wp:docPr id="21" name="Image 21" descr="D:\JANUARIO Carlos\Mon travail\IUT en Ligne\Modulest\ModXML6\modsrc\FIN-INTER-01\Chapitre-05\Doll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JANUARIO Carlos\Mon travail\IUT en Ligne\Modulest\ModXML6\modsrc\FIN-INTER-01\Chapitre-05\Dollars.jpg"/>
                          <pic:cNvPicPr>
                            <a:picLocks noChangeAspect="1" noChangeArrowheads="1"/>
                          </pic:cNvPicPr>
                        </pic:nvPicPr>
                        <pic:blipFill>
                          <a:blip r:embed="rId24"/>
                          <a:srcRect/>
                          <a:stretch>
                            <a:fillRect/>
                          </a:stretch>
                        </pic:blipFill>
                        <pic:spPr bwMode="auto">
                          <a:xfrm>
                            <a:off x="0" y="0"/>
                            <a:ext cx="3162300" cy="2371725"/>
                          </a:xfrm>
                          <a:prstGeom prst="rect">
                            <a:avLst/>
                          </a:prstGeom>
                          <a:noFill/>
                          <a:ln w="9525">
                            <a:noFill/>
                            <a:miter lim="800000"/>
                            <a:headEnd/>
                            <a:tailEnd/>
                          </a:ln>
                        </pic:spPr>
                      </pic:pic>
                    </a:graphicData>
                  </a:graphic>
                </wp:inline>
              </w:drawing>
            </w:r>
          </w:p>
        </w:tc>
        <w:tc>
          <w:tcPr>
            <w:tcW w:w="4968" w:type="dxa"/>
            <w:vAlign w:val="center"/>
            <w:hideMark/>
          </w:tcPr>
          <w:p w:rsidR="007F6264" w:rsidRPr="007F6264" w:rsidRDefault="007F6264" w:rsidP="007F6264">
            <w:pPr>
              <w:spacing w:beforeAutospacing="1" w:afterAutospacing="1"/>
              <w:rPr>
                <w:rFonts w:eastAsia="Times New Roman"/>
                <w:color w:val="333333"/>
                <w:szCs w:val="24"/>
                <w:lang w:eastAsia="fr-FR"/>
              </w:rPr>
            </w:pPr>
            <w:r w:rsidRPr="007F6264">
              <w:rPr>
                <w:rFonts w:eastAsia="Times New Roman"/>
                <w:color w:val="333333"/>
                <w:szCs w:val="24"/>
                <w:lang w:eastAsia="fr-FR"/>
              </w:rPr>
              <w:t xml:space="preserve">Le </w:t>
            </w:r>
            <w:r w:rsidRPr="007F6264">
              <w:rPr>
                <w:rFonts w:eastAsia="Times New Roman"/>
                <w:b/>
                <w:bCs/>
                <w:color w:val="800000"/>
                <w:lang w:eastAsia="fr-FR"/>
              </w:rPr>
              <w:t>dollar américain</w:t>
            </w:r>
            <w:r w:rsidRPr="007F6264">
              <w:rPr>
                <w:rFonts w:eastAsia="Times New Roman"/>
                <w:color w:val="333333"/>
                <w:szCs w:val="24"/>
                <w:lang w:eastAsia="fr-FR"/>
              </w:rPr>
              <w:t xml:space="preserve"> continue de jouer un rôle de </w:t>
            </w:r>
            <w:r w:rsidRPr="007F6264">
              <w:rPr>
                <w:rFonts w:eastAsia="Times New Roman"/>
                <w:b/>
                <w:bCs/>
                <w:color w:val="800000"/>
                <w:lang w:eastAsia="fr-FR"/>
              </w:rPr>
              <w:t>monnaie de réserve</w:t>
            </w:r>
            <w:r w:rsidRPr="007F6264">
              <w:rPr>
                <w:rFonts w:eastAsia="Times New Roman"/>
                <w:color w:val="333333"/>
                <w:szCs w:val="24"/>
                <w:lang w:eastAsia="fr-FR"/>
              </w:rPr>
              <w:t xml:space="preserve">. </w:t>
            </w:r>
          </w:p>
          <w:p w:rsidR="007F6264" w:rsidRPr="007F6264" w:rsidRDefault="007F6264" w:rsidP="007F6264">
            <w:pPr>
              <w:spacing w:before="100" w:beforeAutospacing="1" w:after="100" w:afterAutospacing="1"/>
              <w:rPr>
                <w:rFonts w:eastAsia="Times New Roman"/>
                <w:color w:val="333333"/>
                <w:szCs w:val="24"/>
                <w:lang w:eastAsia="fr-FR"/>
              </w:rPr>
            </w:pPr>
            <w:r w:rsidRPr="007F6264">
              <w:rPr>
                <w:rFonts w:eastAsia="Times New Roman"/>
                <w:color w:val="333333"/>
                <w:szCs w:val="24"/>
                <w:lang w:eastAsia="fr-FR"/>
              </w:rPr>
              <w:t xml:space="preserve">Le déficit commercial américain se creusant de plus en plus le dollar s’affaiblit, et des pays comme la Chine utilisent désormais aussi l’Euro comme monnaie de réserve. </w:t>
            </w:r>
          </w:p>
          <w:p w:rsidR="007F6264" w:rsidRPr="007F6264" w:rsidRDefault="007F6264" w:rsidP="007F6264">
            <w:pPr>
              <w:spacing w:before="100" w:beforeAutospacing="1" w:after="100" w:afterAutospacing="1"/>
              <w:rPr>
                <w:rFonts w:eastAsia="Times New Roman"/>
                <w:color w:val="333333"/>
                <w:szCs w:val="24"/>
                <w:lang w:eastAsia="fr-FR"/>
              </w:rPr>
            </w:pPr>
            <w:r w:rsidRPr="007F6264">
              <w:rPr>
                <w:rFonts w:eastAsia="Times New Roman"/>
                <w:color w:val="333333"/>
                <w:szCs w:val="24"/>
                <w:lang w:eastAsia="fr-FR"/>
              </w:rPr>
              <w:t xml:space="preserve">Si la Chine cessait d’acheter de l’USD, il s’effondrerait encore plus. </w:t>
            </w:r>
          </w:p>
          <w:p w:rsidR="007F6264" w:rsidRPr="007F6264" w:rsidRDefault="007F6264" w:rsidP="007F6264">
            <w:pPr>
              <w:spacing w:before="100" w:beforeAutospacing="1" w:after="100" w:afterAutospacing="1"/>
              <w:rPr>
                <w:rFonts w:eastAsia="Times New Roman"/>
                <w:color w:val="333333"/>
                <w:szCs w:val="24"/>
                <w:lang w:eastAsia="fr-FR"/>
              </w:rPr>
            </w:pPr>
            <w:r w:rsidRPr="007F6264">
              <w:rPr>
                <w:rFonts w:eastAsia="Times New Roman"/>
                <w:color w:val="333333"/>
                <w:szCs w:val="24"/>
                <w:lang w:eastAsia="fr-FR"/>
              </w:rPr>
              <w:t>Cependant la plupart des transactions mondiales sont encore effectuées en dollars (le pétrole…).</w:t>
            </w:r>
          </w:p>
        </w:tc>
      </w:tr>
    </w:tbl>
    <w:p w:rsidR="002E531E" w:rsidRDefault="002E531E" w:rsidP="002E531E"/>
    <w:p w:rsidR="002E531E" w:rsidRDefault="002E531E" w:rsidP="002E531E">
      <w:pPr>
        <w:pStyle w:val="Titre2"/>
      </w:pPr>
      <w:bookmarkStart w:id="13" w:name="_Toc211329663"/>
      <w:r>
        <w:t>5.3. Internationalisation des entreprises.</w:t>
      </w:r>
      <w:bookmarkEnd w:id="13"/>
    </w:p>
    <w:p w:rsidR="002E531E" w:rsidRDefault="002E531E" w:rsidP="002E531E"/>
    <w:tbl>
      <w:tblPr>
        <w:tblW w:w="9719" w:type="dxa"/>
        <w:tblCellSpacing w:w="0" w:type="dxa"/>
        <w:tblCellMar>
          <w:left w:w="0" w:type="dxa"/>
          <w:right w:w="0" w:type="dxa"/>
        </w:tblCellMar>
        <w:tblLook w:val="04A0"/>
      </w:tblPr>
      <w:tblGrid>
        <w:gridCol w:w="2698"/>
        <w:gridCol w:w="7021"/>
      </w:tblGrid>
      <w:tr w:rsidR="007F6264" w:rsidRPr="007F6264" w:rsidTr="007F6264">
        <w:trPr>
          <w:trHeight w:val="1561"/>
          <w:tblCellSpacing w:w="0" w:type="dxa"/>
        </w:trPr>
        <w:tc>
          <w:tcPr>
            <w:tcW w:w="2698" w:type="dxa"/>
            <w:vAlign w:val="center"/>
            <w:hideMark/>
          </w:tcPr>
          <w:p w:rsidR="007F6264" w:rsidRPr="007F6264" w:rsidRDefault="007F6264" w:rsidP="007F6264">
            <w:pPr>
              <w:jc w:val="left"/>
              <w:rPr>
                <w:rFonts w:ascii="Georgia" w:eastAsia="Times New Roman" w:hAnsi="Georgia"/>
                <w:color w:val="666666"/>
                <w:szCs w:val="24"/>
                <w:lang w:eastAsia="fr-FR"/>
              </w:rPr>
            </w:pPr>
            <w:r>
              <w:rPr>
                <w:rFonts w:ascii="Georgia" w:eastAsia="Times New Roman" w:hAnsi="Georgia"/>
                <w:noProof/>
                <w:color w:val="666666"/>
                <w:szCs w:val="24"/>
                <w:lang w:eastAsia="fr-FR"/>
              </w:rPr>
              <w:drawing>
                <wp:inline distT="0" distB="0" distL="0" distR="0">
                  <wp:extent cx="1619250" cy="1628775"/>
                  <wp:effectExtent l="19050" t="0" r="0" b="0"/>
                  <wp:docPr id="23" name="Image 23" descr="D:\JANUARIO Carlos\Mon travail\IUT en Ligne\Modulest\ModXML6\modsrc\FIN-INTER-01\Chapitre-05\Internationalis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JANUARIO Carlos\Mon travail\IUT en Ligne\Modulest\ModXML6\modsrc\FIN-INTER-01\Chapitre-05\Internationalisation-2.png"/>
                          <pic:cNvPicPr>
                            <a:picLocks noChangeAspect="1" noChangeArrowheads="1"/>
                          </pic:cNvPicPr>
                        </pic:nvPicPr>
                        <pic:blipFill>
                          <a:blip r:embed="rId25"/>
                          <a:srcRect/>
                          <a:stretch>
                            <a:fillRect/>
                          </a:stretch>
                        </pic:blipFill>
                        <pic:spPr bwMode="auto">
                          <a:xfrm>
                            <a:off x="0" y="0"/>
                            <a:ext cx="1619250" cy="1628775"/>
                          </a:xfrm>
                          <a:prstGeom prst="rect">
                            <a:avLst/>
                          </a:prstGeom>
                          <a:noFill/>
                          <a:ln w="9525">
                            <a:noFill/>
                            <a:miter lim="800000"/>
                            <a:headEnd/>
                            <a:tailEnd/>
                          </a:ln>
                        </pic:spPr>
                      </pic:pic>
                    </a:graphicData>
                  </a:graphic>
                </wp:inline>
              </w:drawing>
            </w:r>
          </w:p>
        </w:tc>
        <w:tc>
          <w:tcPr>
            <w:tcW w:w="7021" w:type="dxa"/>
            <w:vAlign w:val="center"/>
            <w:hideMark/>
          </w:tcPr>
          <w:p w:rsidR="007F6264" w:rsidRPr="007F6264" w:rsidRDefault="007F6264" w:rsidP="007F6264">
            <w:pPr>
              <w:spacing w:beforeAutospacing="1" w:afterAutospacing="1"/>
              <w:rPr>
                <w:rFonts w:eastAsia="Times New Roman"/>
                <w:color w:val="333333"/>
                <w:szCs w:val="24"/>
                <w:lang w:eastAsia="fr-FR"/>
              </w:rPr>
            </w:pPr>
            <w:r w:rsidRPr="007F6264">
              <w:rPr>
                <w:rFonts w:eastAsia="Times New Roman"/>
                <w:color w:val="333333"/>
                <w:szCs w:val="24"/>
                <w:lang w:eastAsia="fr-FR"/>
              </w:rPr>
              <w:t xml:space="preserve">Pour conquérir de nouvelles parts de marché, vendre plus, pour investir dans un environnement plus favorable, avec des coûts de main d’œuvre moindres, une meilleure fiscalité… pour écouler plus de produits et profiter d’opportunités qui n’existent pas sur leur marché national, </w:t>
            </w:r>
            <w:r w:rsidRPr="007F6264">
              <w:rPr>
                <w:rFonts w:eastAsia="Times New Roman"/>
                <w:b/>
                <w:bCs/>
                <w:color w:val="800000"/>
                <w:lang w:eastAsia="fr-FR"/>
              </w:rPr>
              <w:t>les entreprises s’internationalisent</w:t>
            </w:r>
            <w:r w:rsidRPr="007F6264">
              <w:rPr>
                <w:rFonts w:eastAsia="Times New Roman"/>
                <w:color w:val="333333"/>
                <w:szCs w:val="24"/>
                <w:lang w:eastAsia="fr-FR"/>
              </w:rPr>
              <w:t xml:space="preserve">. </w:t>
            </w:r>
          </w:p>
          <w:p w:rsidR="007F6264" w:rsidRPr="007F6264" w:rsidRDefault="007F6264" w:rsidP="007F6264">
            <w:pPr>
              <w:spacing w:before="100" w:beforeAutospacing="1" w:after="100" w:afterAutospacing="1"/>
              <w:rPr>
                <w:rFonts w:eastAsia="Times New Roman"/>
                <w:color w:val="333333"/>
                <w:szCs w:val="24"/>
                <w:lang w:eastAsia="fr-FR"/>
              </w:rPr>
            </w:pPr>
            <w:r w:rsidRPr="007F6264">
              <w:rPr>
                <w:rFonts w:eastAsia="Times New Roman"/>
                <w:color w:val="333333"/>
                <w:szCs w:val="24"/>
                <w:lang w:eastAsia="fr-FR"/>
              </w:rPr>
              <w:t>Bien sûr toutes ne font pas le choix de s’installer directement à l’étranger, mais rares sont celles qui refuseraient de vendre à l’étranger, ou de s’approvisionner de manière plus avantageuse à l’étranger.</w:t>
            </w:r>
          </w:p>
        </w:tc>
      </w:tr>
      <w:tr w:rsidR="007F6264" w:rsidRPr="007F6264" w:rsidTr="007F6264">
        <w:trPr>
          <w:trHeight w:val="173"/>
          <w:tblCellSpacing w:w="0" w:type="dxa"/>
        </w:trPr>
        <w:tc>
          <w:tcPr>
            <w:tcW w:w="0" w:type="auto"/>
            <w:vAlign w:val="center"/>
            <w:hideMark/>
          </w:tcPr>
          <w:p w:rsidR="007F6264" w:rsidRPr="007F6264" w:rsidRDefault="007F6264" w:rsidP="007F6264">
            <w:pPr>
              <w:jc w:val="left"/>
              <w:rPr>
                <w:rFonts w:ascii="Georgia" w:eastAsia="Times New Roman" w:hAnsi="Georgia"/>
                <w:color w:val="666666"/>
                <w:szCs w:val="24"/>
                <w:lang w:eastAsia="fr-FR"/>
              </w:rPr>
            </w:pPr>
            <w:r w:rsidRPr="007F6264">
              <w:rPr>
                <w:rFonts w:ascii="Georgia" w:eastAsia="Times New Roman" w:hAnsi="Georgia"/>
                <w:color w:val="666666"/>
                <w:szCs w:val="24"/>
                <w:lang w:eastAsia="fr-FR"/>
              </w:rPr>
              <w:t> </w:t>
            </w:r>
          </w:p>
        </w:tc>
        <w:tc>
          <w:tcPr>
            <w:tcW w:w="0" w:type="auto"/>
            <w:vAlign w:val="center"/>
            <w:hideMark/>
          </w:tcPr>
          <w:p w:rsidR="007F6264" w:rsidRPr="007F6264" w:rsidRDefault="007F6264" w:rsidP="007F6264">
            <w:pPr>
              <w:rPr>
                <w:rFonts w:eastAsia="Times New Roman"/>
                <w:color w:val="666666"/>
                <w:szCs w:val="24"/>
                <w:lang w:eastAsia="fr-FR"/>
              </w:rPr>
            </w:pPr>
            <w:r w:rsidRPr="007F6264">
              <w:rPr>
                <w:rFonts w:eastAsia="Times New Roman"/>
                <w:color w:val="666666"/>
                <w:szCs w:val="24"/>
                <w:lang w:eastAsia="fr-FR"/>
              </w:rPr>
              <w:t> </w:t>
            </w:r>
          </w:p>
        </w:tc>
      </w:tr>
    </w:tbl>
    <w:p w:rsidR="007F6264" w:rsidRPr="007F6264" w:rsidRDefault="007F6264" w:rsidP="007F6264">
      <w:pPr>
        <w:rPr>
          <w:rFonts w:ascii="Georgia" w:eastAsia="Times New Roman" w:hAnsi="Georgia"/>
          <w:vanish/>
          <w:color w:val="666666"/>
          <w:szCs w:val="24"/>
          <w:lang w:eastAsia="fr-FR"/>
        </w:rPr>
      </w:pPr>
    </w:p>
    <w:tbl>
      <w:tblPr>
        <w:tblW w:w="9764" w:type="dxa"/>
        <w:tblCellSpacing w:w="0" w:type="dxa"/>
        <w:tblCellMar>
          <w:left w:w="0" w:type="dxa"/>
          <w:right w:w="0" w:type="dxa"/>
        </w:tblCellMar>
        <w:tblLook w:val="04A0"/>
      </w:tblPr>
      <w:tblGrid>
        <w:gridCol w:w="7490"/>
        <w:gridCol w:w="2274"/>
      </w:tblGrid>
      <w:tr w:rsidR="007F6264" w:rsidRPr="007F6264" w:rsidTr="007F6264">
        <w:trPr>
          <w:trHeight w:val="1420"/>
          <w:tblCellSpacing w:w="0" w:type="dxa"/>
        </w:trPr>
        <w:tc>
          <w:tcPr>
            <w:tcW w:w="7490" w:type="dxa"/>
            <w:vAlign w:val="center"/>
            <w:hideMark/>
          </w:tcPr>
          <w:p w:rsidR="007F6264" w:rsidRPr="007F6264" w:rsidRDefault="007F6264" w:rsidP="0076118F">
            <w:pPr>
              <w:spacing w:beforeAutospacing="1" w:afterAutospacing="1"/>
              <w:rPr>
                <w:rFonts w:eastAsia="Times New Roman"/>
                <w:color w:val="333333"/>
                <w:szCs w:val="24"/>
                <w:lang w:eastAsia="fr-FR"/>
              </w:rPr>
            </w:pPr>
            <w:r w:rsidRPr="007F6264">
              <w:rPr>
                <w:rFonts w:eastAsia="Times New Roman"/>
                <w:color w:val="333333"/>
                <w:szCs w:val="24"/>
                <w:lang w:eastAsia="fr-FR"/>
              </w:rPr>
              <w:t xml:space="preserve">Toutefois </w:t>
            </w:r>
            <w:r w:rsidRPr="0076118F">
              <w:rPr>
                <w:rFonts w:eastAsia="Times New Roman"/>
                <w:b/>
                <w:bCs/>
                <w:color w:val="800000"/>
                <w:lang w:eastAsia="fr-FR"/>
              </w:rPr>
              <w:t>cette internationalisation comporte des risques</w:t>
            </w:r>
            <w:r w:rsidRPr="007F6264">
              <w:rPr>
                <w:rFonts w:eastAsia="Times New Roman"/>
                <w:color w:val="333333"/>
                <w:szCs w:val="24"/>
                <w:lang w:eastAsia="fr-FR"/>
              </w:rPr>
              <w:t xml:space="preserve">, que nous étudierons plus tard. </w:t>
            </w:r>
          </w:p>
          <w:p w:rsidR="007F6264" w:rsidRPr="007F6264" w:rsidRDefault="007F6264" w:rsidP="0076118F">
            <w:pPr>
              <w:spacing w:before="100" w:beforeAutospacing="1" w:after="100" w:afterAutospacing="1"/>
              <w:rPr>
                <w:rFonts w:eastAsia="Times New Roman"/>
                <w:color w:val="333333"/>
                <w:szCs w:val="24"/>
                <w:lang w:eastAsia="fr-FR"/>
              </w:rPr>
            </w:pPr>
            <w:r w:rsidRPr="007F6264">
              <w:rPr>
                <w:rFonts w:eastAsia="Times New Roman"/>
                <w:color w:val="333333"/>
                <w:szCs w:val="24"/>
                <w:lang w:eastAsia="fr-FR"/>
              </w:rPr>
              <w:t>En effet facturer dans une autre monnaie que la sienne, avoir à réaliser des investissements dans une autre monnaie, traiter avec des clients qui évoluent dans une législation différente, ne peut pas s’improviser…</w:t>
            </w:r>
          </w:p>
          <w:p w:rsidR="007F6264" w:rsidRPr="007F6264" w:rsidRDefault="007F6264" w:rsidP="0076118F">
            <w:pPr>
              <w:spacing w:before="100" w:beforeAutospacing="1" w:after="100" w:afterAutospacing="1"/>
              <w:rPr>
                <w:rFonts w:eastAsia="Times New Roman"/>
                <w:color w:val="333333"/>
                <w:szCs w:val="24"/>
                <w:lang w:eastAsia="fr-FR"/>
              </w:rPr>
            </w:pPr>
            <w:r w:rsidRPr="007F6264">
              <w:rPr>
                <w:rFonts w:eastAsia="Times New Roman"/>
                <w:color w:val="333333"/>
                <w:szCs w:val="24"/>
                <w:lang w:eastAsia="fr-FR"/>
              </w:rPr>
              <w:t> </w:t>
            </w:r>
          </w:p>
        </w:tc>
        <w:tc>
          <w:tcPr>
            <w:tcW w:w="2274" w:type="dxa"/>
            <w:vAlign w:val="center"/>
            <w:hideMark/>
          </w:tcPr>
          <w:p w:rsidR="007F6264" w:rsidRPr="007F6264" w:rsidRDefault="007F6264" w:rsidP="007F6264">
            <w:pPr>
              <w:jc w:val="right"/>
              <w:rPr>
                <w:rFonts w:ascii="Georgia" w:eastAsia="Times New Roman" w:hAnsi="Georgia"/>
                <w:color w:val="666666"/>
                <w:szCs w:val="24"/>
                <w:lang w:eastAsia="fr-FR"/>
              </w:rPr>
            </w:pPr>
            <w:r>
              <w:rPr>
                <w:rFonts w:ascii="Georgia" w:eastAsia="Times New Roman" w:hAnsi="Georgia"/>
                <w:noProof/>
                <w:color w:val="666666"/>
                <w:szCs w:val="24"/>
                <w:lang w:eastAsia="fr-FR"/>
              </w:rPr>
              <w:drawing>
                <wp:inline distT="0" distB="0" distL="0" distR="0">
                  <wp:extent cx="1371600" cy="1409700"/>
                  <wp:effectExtent l="19050" t="0" r="0" b="0"/>
                  <wp:docPr id="24" name="Image 24" descr="D:\JANUARIO Carlos\Mon travail\IUT en Ligne\Modulest\ModXML6\modsrc\FIN-INTER-01\Chapitre-05\Internationalis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JANUARIO Carlos\Mon travail\IUT en Ligne\Modulest\ModXML6\modsrc\FIN-INTER-01\Chapitre-05\Internationalisation-1.gif"/>
                          <pic:cNvPicPr>
                            <a:picLocks noChangeAspect="1" noChangeArrowheads="1"/>
                          </pic:cNvPicPr>
                        </pic:nvPicPr>
                        <pic:blipFill>
                          <a:blip r:embed="rId26"/>
                          <a:srcRect/>
                          <a:stretch>
                            <a:fillRect/>
                          </a:stretch>
                        </pic:blipFill>
                        <pic:spPr bwMode="auto">
                          <a:xfrm>
                            <a:off x="0" y="0"/>
                            <a:ext cx="1371600" cy="1409700"/>
                          </a:xfrm>
                          <a:prstGeom prst="rect">
                            <a:avLst/>
                          </a:prstGeom>
                          <a:noFill/>
                          <a:ln w="9525">
                            <a:noFill/>
                            <a:miter lim="800000"/>
                            <a:headEnd/>
                            <a:tailEnd/>
                          </a:ln>
                        </pic:spPr>
                      </pic:pic>
                    </a:graphicData>
                  </a:graphic>
                </wp:inline>
              </w:drawing>
            </w:r>
          </w:p>
        </w:tc>
      </w:tr>
      <w:tr w:rsidR="007F6264" w:rsidRPr="007F6264" w:rsidTr="007F6264">
        <w:trPr>
          <w:trHeight w:val="173"/>
          <w:tblCellSpacing w:w="0" w:type="dxa"/>
        </w:trPr>
        <w:tc>
          <w:tcPr>
            <w:tcW w:w="0" w:type="auto"/>
            <w:vAlign w:val="center"/>
            <w:hideMark/>
          </w:tcPr>
          <w:p w:rsidR="007F6264" w:rsidRPr="007F6264" w:rsidRDefault="007F6264" w:rsidP="0076118F">
            <w:pPr>
              <w:rPr>
                <w:rFonts w:eastAsia="Times New Roman"/>
                <w:color w:val="666666"/>
                <w:szCs w:val="24"/>
                <w:lang w:eastAsia="fr-FR"/>
              </w:rPr>
            </w:pPr>
            <w:r w:rsidRPr="0076118F">
              <w:rPr>
                <w:rFonts w:eastAsia="Times New Roman"/>
                <w:b/>
                <w:bCs/>
                <w:color w:val="800000"/>
                <w:lang w:eastAsia="fr-FR"/>
              </w:rPr>
              <w:t>La finance internationale étudie les flux de capitaux entre pays</w:t>
            </w:r>
            <w:r w:rsidRPr="0076118F">
              <w:rPr>
                <w:rFonts w:eastAsia="Times New Roman"/>
                <w:color w:val="333333"/>
                <w:szCs w:val="24"/>
                <w:lang w:eastAsia="fr-FR"/>
              </w:rPr>
              <w:t>.</w:t>
            </w:r>
          </w:p>
        </w:tc>
        <w:tc>
          <w:tcPr>
            <w:tcW w:w="0" w:type="auto"/>
            <w:vAlign w:val="center"/>
            <w:hideMark/>
          </w:tcPr>
          <w:p w:rsidR="007F6264" w:rsidRPr="007F6264" w:rsidRDefault="007F6264" w:rsidP="007F6264">
            <w:pPr>
              <w:jc w:val="left"/>
              <w:rPr>
                <w:rFonts w:ascii="Georgia" w:eastAsia="Times New Roman" w:hAnsi="Georgia"/>
                <w:color w:val="666666"/>
                <w:szCs w:val="24"/>
                <w:lang w:eastAsia="fr-FR"/>
              </w:rPr>
            </w:pPr>
            <w:r w:rsidRPr="007F6264">
              <w:rPr>
                <w:rFonts w:ascii="Georgia" w:eastAsia="Times New Roman" w:hAnsi="Georgia"/>
                <w:color w:val="666666"/>
                <w:szCs w:val="24"/>
                <w:lang w:eastAsia="fr-FR"/>
              </w:rPr>
              <w:t> </w:t>
            </w:r>
          </w:p>
        </w:tc>
      </w:tr>
      <w:tr w:rsidR="007F6264" w:rsidRPr="007F6264" w:rsidTr="007F6264">
        <w:trPr>
          <w:trHeight w:val="173"/>
          <w:tblCellSpacing w:w="0" w:type="dxa"/>
        </w:trPr>
        <w:tc>
          <w:tcPr>
            <w:tcW w:w="0" w:type="auto"/>
            <w:vAlign w:val="center"/>
            <w:hideMark/>
          </w:tcPr>
          <w:p w:rsidR="007F6264" w:rsidRPr="007F6264" w:rsidRDefault="007F6264" w:rsidP="0076118F">
            <w:pPr>
              <w:rPr>
                <w:rFonts w:eastAsia="Times New Roman"/>
                <w:color w:val="666666"/>
                <w:szCs w:val="24"/>
                <w:lang w:eastAsia="fr-FR"/>
              </w:rPr>
            </w:pPr>
            <w:r w:rsidRPr="007F6264">
              <w:rPr>
                <w:rFonts w:eastAsia="Times New Roman"/>
                <w:color w:val="666666"/>
                <w:szCs w:val="24"/>
                <w:lang w:eastAsia="fr-FR"/>
              </w:rPr>
              <w:t> </w:t>
            </w:r>
          </w:p>
        </w:tc>
        <w:tc>
          <w:tcPr>
            <w:tcW w:w="0" w:type="auto"/>
            <w:vAlign w:val="center"/>
            <w:hideMark/>
          </w:tcPr>
          <w:p w:rsidR="007F6264" w:rsidRPr="007F6264" w:rsidRDefault="007F6264" w:rsidP="007F6264">
            <w:pPr>
              <w:jc w:val="left"/>
              <w:rPr>
                <w:rFonts w:ascii="Georgia" w:eastAsia="Times New Roman" w:hAnsi="Georgia"/>
                <w:color w:val="666666"/>
                <w:szCs w:val="24"/>
                <w:lang w:eastAsia="fr-FR"/>
              </w:rPr>
            </w:pPr>
            <w:r w:rsidRPr="007F6264">
              <w:rPr>
                <w:rFonts w:ascii="Georgia" w:eastAsia="Times New Roman" w:hAnsi="Georgia"/>
                <w:color w:val="666666"/>
                <w:szCs w:val="24"/>
                <w:lang w:eastAsia="fr-FR"/>
              </w:rPr>
              <w:t> </w:t>
            </w:r>
          </w:p>
        </w:tc>
      </w:tr>
    </w:tbl>
    <w:p w:rsidR="007F6264" w:rsidRPr="007F6264" w:rsidRDefault="007F6264" w:rsidP="007F6264">
      <w:pPr>
        <w:rPr>
          <w:rFonts w:ascii="Georgia" w:eastAsia="Times New Roman" w:hAnsi="Georgia"/>
          <w:vanish/>
          <w:color w:val="666666"/>
          <w:szCs w:val="24"/>
          <w:lang w:eastAsia="fr-FR"/>
        </w:rPr>
      </w:pPr>
    </w:p>
    <w:tbl>
      <w:tblPr>
        <w:tblW w:w="9839" w:type="dxa"/>
        <w:tblCellSpacing w:w="0" w:type="dxa"/>
        <w:tblCellMar>
          <w:left w:w="0" w:type="dxa"/>
          <w:right w:w="0" w:type="dxa"/>
        </w:tblCellMar>
        <w:tblLook w:val="04A0"/>
      </w:tblPr>
      <w:tblGrid>
        <w:gridCol w:w="9839"/>
      </w:tblGrid>
      <w:tr w:rsidR="007F6264" w:rsidRPr="007F6264" w:rsidTr="0076118F">
        <w:trPr>
          <w:trHeight w:val="1015"/>
          <w:tblCellSpacing w:w="0" w:type="dxa"/>
        </w:trPr>
        <w:tc>
          <w:tcPr>
            <w:tcW w:w="0" w:type="auto"/>
            <w:vAlign w:val="center"/>
            <w:hideMark/>
          </w:tcPr>
          <w:p w:rsidR="007F6264" w:rsidRPr="007F6264" w:rsidRDefault="007F6264" w:rsidP="007F6264">
            <w:pPr>
              <w:spacing w:before="100" w:beforeAutospacing="1" w:after="100" w:afterAutospacing="1"/>
              <w:jc w:val="left"/>
              <w:rPr>
                <w:rFonts w:eastAsia="Times New Roman"/>
                <w:color w:val="666666"/>
                <w:szCs w:val="24"/>
                <w:lang w:eastAsia="fr-FR"/>
              </w:rPr>
            </w:pPr>
            <w:r w:rsidRPr="0076118F">
              <w:rPr>
                <w:rFonts w:eastAsia="Times New Roman"/>
                <w:color w:val="333333"/>
                <w:szCs w:val="24"/>
                <w:lang w:eastAsia="fr-FR"/>
              </w:rPr>
              <w:t xml:space="preserve">Dans le cadre d’une entreprise, elle étudie les flux de capitaux entre l’entreprise et ses clients / fournisseurs, et surtout comment se protéger contre les risques inhérents à l’internationalisation de ces flux. </w:t>
            </w:r>
          </w:p>
          <w:p w:rsidR="007F6264" w:rsidRPr="007F6264" w:rsidRDefault="007F6264" w:rsidP="007F6264">
            <w:pPr>
              <w:spacing w:before="100" w:beforeAutospacing="1" w:after="100" w:afterAutospacing="1"/>
              <w:jc w:val="left"/>
              <w:rPr>
                <w:rFonts w:eastAsia="Times New Roman"/>
                <w:color w:val="666666"/>
                <w:szCs w:val="24"/>
                <w:lang w:eastAsia="fr-FR"/>
              </w:rPr>
            </w:pPr>
            <w:r w:rsidRPr="0076118F">
              <w:rPr>
                <w:rFonts w:eastAsia="Times New Roman"/>
                <w:color w:val="333333"/>
                <w:szCs w:val="24"/>
                <w:lang w:eastAsia="fr-FR"/>
              </w:rPr>
              <w:t>La principale caractéristique de ces flux étant qu’ils sont dans une monnaie différente, et qu’il faut donc prendre le taux de change en compte.</w:t>
            </w:r>
          </w:p>
        </w:tc>
      </w:tr>
    </w:tbl>
    <w:p w:rsidR="007F6264" w:rsidRPr="007F6264" w:rsidRDefault="007F6264" w:rsidP="007F6264">
      <w:pPr>
        <w:rPr>
          <w:rFonts w:ascii="Georgia" w:eastAsia="Times New Roman" w:hAnsi="Georgia"/>
          <w:vanish/>
          <w:color w:val="666666"/>
          <w:szCs w:val="24"/>
          <w:lang w:eastAsia="fr-FR"/>
        </w:rPr>
      </w:pPr>
    </w:p>
    <w:tbl>
      <w:tblPr>
        <w:tblW w:w="10500" w:type="dxa"/>
        <w:tblCellSpacing w:w="0" w:type="dxa"/>
        <w:tblCellMar>
          <w:left w:w="0" w:type="dxa"/>
          <w:right w:w="0" w:type="dxa"/>
        </w:tblCellMar>
        <w:tblLook w:val="04A0"/>
      </w:tblPr>
      <w:tblGrid>
        <w:gridCol w:w="10500"/>
      </w:tblGrid>
      <w:tr w:rsidR="007F6264" w:rsidRPr="007F6264">
        <w:trPr>
          <w:tblCellSpacing w:w="0" w:type="dxa"/>
        </w:trPr>
        <w:tc>
          <w:tcPr>
            <w:tcW w:w="0" w:type="auto"/>
            <w:vAlign w:val="center"/>
            <w:hideMark/>
          </w:tcPr>
          <w:p w:rsidR="007F6264" w:rsidRPr="007F6264" w:rsidRDefault="007F6264" w:rsidP="007F6264">
            <w:pPr>
              <w:jc w:val="left"/>
              <w:rPr>
                <w:rFonts w:ascii="Georgia" w:eastAsia="Times New Roman" w:hAnsi="Georgia"/>
                <w:color w:val="666666"/>
                <w:szCs w:val="24"/>
                <w:lang w:eastAsia="fr-FR"/>
              </w:rPr>
            </w:pPr>
          </w:p>
        </w:tc>
      </w:tr>
    </w:tbl>
    <w:p w:rsidR="002E531E" w:rsidRDefault="002E531E" w:rsidP="002E531E"/>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8E1843"/>
    <w:p w:rsidR="008E1843" w:rsidRDefault="008E1843" w:rsidP="0076118F"/>
    <w:sectPr w:rsidR="008E1843" w:rsidSect="00502490">
      <w:footerReference w:type="default" r:id="rId27"/>
      <w:pgSz w:w="11907" w:h="16840" w:code="9"/>
      <w:pgMar w:top="567" w:right="1134" w:bottom="851" w:left="1134" w:header="567" w:footer="56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2B2" w:rsidRDefault="004872B2" w:rsidP="008E1843">
      <w:r>
        <w:separator/>
      </w:r>
    </w:p>
  </w:endnote>
  <w:endnote w:type="continuationSeparator" w:id="1">
    <w:p w:rsidR="004872B2" w:rsidRDefault="004872B2" w:rsidP="008E18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43" w:rsidRDefault="008E1843" w:rsidP="008E1843">
    <w:pPr>
      <w:pStyle w:val="Pieddepage"/>
      <w:jc w:val="center"/>
      <w:rPr>
        <w:b/>
        <w:i/>
        <w:snapToGrid w:val="0"/>
        <w:sz w:val="18"/>
      </w:rPr>
    </w:pPr>
    <w:r>
      <w:rPr>
        <w:b/>
        <w:sz w:val="20"/>
        <w:szCs w:val="20"/>
      </w:rPr>
      <w:t>Finance internationale</w:t>
    </w:r>
    <w:r w:rsidR="002E531E">
      <w:rPr>
        <w:b/>
        <w:sz w:val="20"/>
        <w:szCs w:val="20"/>
      </w:rPr>
      <w:t xml:space="preserve"> : </w:t>
    </w:r>
    <w:r>
      <w:rPr>
        <w:b/>
        <w:sz w:val="20"/>
        <w:szCs w:val="20"/>
      </w:rPr>
      <w:t>01 - Le contexte – Romain BAYLE</w:t>
    </w:r>
  </w:p>
  <w:p w:rsidR="008E1843" w:rsidRDefault="008E1843" w:rsidP="008E1843">
    <w:pPr>
      <w:pStyle w:val="Pieddepage"/>
      <w:jc w:val="center"/>
    </w:pPr>
    <w:r w:rsidRPr="00DD63C8">
      <w:rPr>
        <w:b/>
        <w:snapToGrid w:val="0"/>
        <w:sz w:val="18"/>
      </w:rPr>
      <w:t xml:space="preserve">Page n° </w:t>
    </w:r>
    <w:r w:rsidRPr="00DD63C8">
      <w:rPr>
        <w:b/>
        <w:snapToGrid w:val="0"/>
        <w:sz w:val="18"/>
      </w:rPr>
      <w:pgNum/>
    </w:r>
    <w:r w:rsidRPr="00DD63C8">
      <w:rPr>
        <w:b/>
        <w:snapToGrid w:val="0"/>
        <w:sz w:val="18"/>
      </w:rPr>
      <w:t xml:space="preserve"> / </w:t>
    </w:r>
    <w:r w:rsidR="0020410F" w:rsidRPr="00DD63C8">
      <w:rPr>
        <w:rStyle w:val="Numrodepage"/>
        <w:b/>
        <w:sz w:val="18"/>
      </w:rPr>
      <w:fldChar w:fldCharType="begin"/>
    </w:r>
    <w:r w:rsidRPr="00DD63C8">
      <w:rPr>
        <w:rStyle w:val="Numrodepage"/>
        <w:b/>
        <w:sz w:val="18"/>
      </w:rPr>
      <w:instrText xml:space="preserve"> NUMPAGES </w:instrText>
    </w:r>
    <w:r w:rsidR="0020410F" w:rsidRPr="00DD63C8">
      <w:rPr>
        <w:rStyle w:val="Numrodepage"/>
        <w:b/>
        <w:sz w:val="18"/>
      </w:rPr>
      <w:fldChar w:fldCharType="separate"/>
    </w:r>
    <w:r w:rsidR="00342E4D">
      <w:rPr>
        <w:rStyle w:val="Numrodepage"/>
        <w:b/>
        <w:noProof/>
        <w:sz w:val="18"/>
      </w:rPr>
      <w:t>7</w:t>
    </w:r>
    <w:r w:rsidR="0020410F" w:rsidRPr="00DD63C8">
      <w:rPr>
        <w:rStyle w:val="Numrodepage"/>
        <w:b/>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2B2" w:rsidRDefault="004872B2" w:rsidP="008E1843">
      <w:r>
        <w:separator/>
      </w:r>
    </w:p>
  </w:footnote>
  <w:footnote w:type="continuationSeparator" w:id="1">
    <w:p w:rsidR="004872B2" w:rsidRDefault="004872B2" w:rsidP="008E1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84690"/>
    <w:multiLevelType w:val="multilevel"/>
    <w:tmpl w:val="994E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D1145D"/>
    <w:multiLevelType w:val="multilevel"/>
    <w:tmpl w:val="C21C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667BA7"/>
    <w:multiLevelType w:val="multilevel"/>
    <w:tmpl w:val="2F32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3158FE"/>
    <w:multiLevelType w:val="multilevel"/>
    <w:tmpl w:val="B768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6C1037"/>
    <w:multiLevelType w:val="multilevel"/>
    <w:tmpl w:val="60CA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333839"/>
    <w:multiLevelType w:val="multilevel"/>
    <w:tmpl w:val="2666915A"/>
    <w:lvl w:ilvl="0">
      <w:start w:val="1"/>
      <w:numFmt w:val="decimal"/>
      <w:suff w:val="space"/>
      <w:lvlText w:val="Chapitre %1."/>
      <w:lvlJc w:val="left"/>
      <w:pPr>
        <w:ind w:left="0" w:firstLine="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suff w:val="space"/>
      <w:lvlText w:val="Section %1.%2."/>
      <w:lvlJc w:val="left"/>
      <w:pPr>
        <w:ind w:left="357" w:firstLine="0"/>
      </w:pPr>
      <w:rPr>
        <w:rFonts w:ascii="Times New Roman" w:hAnsi="Times New Roman" w:hint="default"/>
        <w:b/>
        <w:i w:val="0"/>
        <w:sz w:val="24"/>
      </w:rPr>
    </w:lvl>
    <w:lvl w:ilvl="2">
      <w:start w:val="1"/>
      <w:numFmt w:val="decimal"/>
      <w:suff w:val="space"/>
      <w:lvlText w:val="Sous-section %1.%2.%3."/>
      <w:lvlJc w:val="left"/>
      <w:pPr>
        <w:ind w:left="714" w:firstLine="0"/>
      </w:pPr>
      <w:rPr>
        <w:rFonts w:ascii="Times New Roman" w:hAnsi="Times New Roman" w:hint="default"/>
        <w:b/>
        <w:i w:val="0"/>
        <w:sz w:val="24"/>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num w:numId="1">
    <w:abstractNumId w:val="5"/>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F3551C"/>
    <w:rsid w:val="000A02BC"/>
    <w:rsid w:val="00157E85"/>
    <w:rsid w:val="00170809"/>
    <w:rsid w:val="0020410F"/>
    <w:rsid w:val="00207DBA"/>
    <w:rsid w:val="00263CD4"/>
    <w:rsid w:val="00272EB8"/>
    <w:rsid w:val="002E531E"/>
    <w:rsid w:val="00342E4D"/>
    <w:rsid w:val="003C1285"/>
    <w:rsid w:val="004872B2"/>
    <w:rsid w:val="00502490"/>
    <w:rsid w:val="005274E7"/>
    <w:rsid w:val="00547D11"/>
    <w:rsid w:val="0055462A"/>
    <w:rsid w:val="005827A2"/>
    <w:rsid w:val="005D2F17"/>
    <w:rsid w:val="005D7BA3"/>
    <w:rsid w:val="0076118F"/>
    <w:rsid w:val="007F6264"/>
    <w:rsid w:val="00877B1E"/>
    <w:rsid w:val="008E1843"/>
    <w:rsid w:val="008F062A"/>
    <w:rsid w:val="009A4FDC"/>
    <w:rsid w:val="009C7065"/>
    <w:rsid w:val="00A60ACB"/>
    <w:rsid w:val="00A735B2"/>
    <w:rsid w:val="00A94420"/>
    <w:rsid w:val="00AB6E54"/>
    <w:rsid w:val="00AD792E"/>
    <w:rsid w:val="00B14669"/>
    <w:rsid w:val="00B254D2"/>
    <w:rsid w:val="00B51B5A"/>
    <w:rsid w:val="00BB3AA8"/>
    <w:rsid w:val="00BF7083"/>
    <w:rsid w:val="00C1182F"/>
    <w:rsid w:val="00C345AD"/>
    <w:rsid w:val="00C55B59"/>
    <w:rsid w:val="00D276F5"/>
    <w:rsid w:val="00E21AB0"/>
    <w:rsid w:val="00E248D1"/>
    <w:rsid w:val="00E81848"/>
    <w:rsid w:val="00F3551C"/>
    <w:rsid w:val="00F41B38"/>
    <w:rsid w:val="00F45302"/>
    <w:rsid w:val="00F454DB"/>
    <w:rsid w:val="00F945C4"/>
    <w:rsid w:val="00FD66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11"/>
    <w:rPr>
      <w:rFonts w:ascii="Times New Roman" w:hAnsi="Times New Roman" w:cs="Times New Roman"/>
      <w:sz w:val="24"/>
    </w:rPr>
  </w:style>
  <w:style w:type="paragraph" w:styleId="Titre1">
    <w:name w:val="heading 1"/>
    <w:basedOn w:val="Normal"/>
    <w:next w:val="Normal"/>
    <w:link w:val="Titre1Car"/>
    <w:autoRedefine/>
    <w:qFormat/>
    <w:rsid w:val="00547D11"/>
    <w:pPr>
      <w:keepNext/>
      <w:spacing w:line="240" w:lineRule="exact"/>
      <w:outlineLvl w:val="0"/>
    </w:pPr>
    <w:rPr>
      <w:rFonts w:eastAsia="Times New Roman"/>
      <w:b/>
      <w:szCs w:val="20"/>
      <w:lang w:eastAsia="fr-FR"/>
    </w:rPr>
  </w:style>
  <w:style w:type="paragraph" w:styleId="Titre2">
    <w:name w:val="heading 2"/>
    <w:basedOn w:val="Normal"/>
    <w:next w:val="Normal"/>
    <w:link w:val="Titre2Car"/>
    <w:autoRedefine/>
    <w:uiPriority w:val="9"/>
    <w:unhideWhenUsed/>
    <w:qFormat/>
    <w:rsid w:val="00547D11"/>
    <w:pPr>
      <w:keepNext/>
      <w:ind w:left="708"/>
      <w:outlineLvl w:val="1"/>
    </w:pPr>
    <w:rPr>
      <w:rFonts w:cstheme="minorBidi"/>
      <w:b/>
      <w:bCs/>
      <w:iCs/>
      <w:szCs w:val="28"/>
    </w:rPr>
  </w:style>
  <w:style w:type="paragraph" w:styleId="Titre3">
    <w:name w:val="heading 3"/>
    <w:basedOn w:val="Normal"/>
    <w:next w:val="Normal"/>
    <w:link w:val="Titre3Car"/>
    <w:autoRedefine/>
    <w:qFormat/>
    <w:rsid w:val="00547D11"/>
    <w:pPr>
      <w:keepNext/>
      <w:ind w:left="1416"/>
      <w:outlineLvl w:val="2"/>
    </w:pPr>
    <w:rPr>
      <w:rFonts w:eastAsia="Times New Roman" w:cstheme="min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link w:val="Style1Car"/>
    <w:autoRedefine/>
    <w:qFormat/>
    <w:rsid w:val="00F945C4"/>
    <w:pPr>
      <w:spacing w:before="240" w:after="60"/>
    </w:pPr>
  </w:style>
  <w:style w:type="character" w:customStyle="1" w:styleId="Titre1Car">
    <w:name w:val="Titre 1 Car"/>
    <w:basedOn w:val="Policepardfaut"/>
    <w:link w:val="Titre1"/>
    <w:rsid w:val="00547D11"/>
    <w:rPr>
      <w:rFonts w:ascii="Times New Roman" w:eastAsia="Times New Roman" w:hAnsi="Times New Roman" w:cs="Times New Roman"/>
      <w:b/>
      <w:sz w:val="24"/>
      <w:szCs w:val="20"/>
      <w:lang w:eastAsia="fr-FR"/>
    </w:rPr>
  </w:style>
  <w:style w:type="character" w:customStyle="1" w:styleId="Style1Car">
    <w:name w:val="Style1 Car"/>
    <w:basedOn w:val="Titre1Car"/>
    <w:link w:val="Style1"/>
    <w:rsid w:val="00F945C4"/>
    <w:rPr>
      <w:rFonts w:ascii="Times New Roman" w:hAnsi="Times New Roman"/>
      <w:kern w:val="32"/>
      <w:sz w:val="24"/>
      <w:szCs w:val="32"/>
    </w:rPr>
  </w:style>
  <w:style w:type="paragraph" w:styleId="TM1">
    <w:name w:val="toc 1"/>
    <w:basedOn w:val="Normal"/>
    <w:next w:val="Normal"/>
    <w:autoRedefine/>
    <w:uiPriority w:val="39"/>
    <w:unhideWhenUsed/>
    <w:qFormat/>
    <w:rsid w:val="00207DBA"/>
    <w:pPr>
      <w:spacing w:before="120" w:after="120"/>
    </w:pPr>
    <w:rPr>
      <w:rFonts w:eastAsia="Times New Roman"/>
      <w:b/>
      <w:szCs w:val="20"/>
      <w:lang w:eastAsia="fr-FR"/>
    </w:rPr>
  </w:style>
  <w:style w:type="paragraph" w:styleId="TM3">
    <w:name w:val="toc 3"/>
    <w:basedOn w:val="Normal"/>
    <w:next w:val="Normal"/>
    <w:autoRedefine/>
    <w:uiPriority w:val="39"/>
    <w:unhideWhenUsed/>
    <w:qFormat/>
    <w:rsid w:val="00207DBA"/>
    <w:pPr>
      <w:ind w:left="1418"/>
    </w:pPr>
    <w:rPr>
      <w:rFonts w:eastAsia="Times New Roman"/>
      <w:b/>
      <w:szCs w:val="20"/>
      <w:lang w:eastAsia="fr-FR"/>
    </w:rPr>
  </w:style>
  <w:style w:type="paragraph" w:styleId="TM2">
    <w:name w:val="toc 2"/>
    <w:basedOn w:val="Normal"/>
    <w:next w:val="Normal"/>
    <w:autoRedefine/>
    <w:uiPriority w:val="39"/>
    <w:unhideWhenUsed/>
    <w:qFormat/>
    <w:rsid w:val="00207DBA"/>
    <w:pPr>
      <w:ind w:left="709"/>
    </w:pPr>
    <w:rPr>
      <w:rFonts w:eastAsia="Times New Roman"/>
      <w:b/>
      <w:szCs w:val="20"/>
      <w:lang w:eastAsia="fr-FR"/>
    </w:rPr>
  </w:style>
  <w:style w:type="character" w:customStyle="1" w:styleId="Titre2Car">
    <w:name w:val="Titre 2 Car"/>
    <w:basedOn w:val="Policepardfaut"/>
    <w:link w:val="Titre2"/>
    <w:uiPriority w:val="9"/>
    <w:rsid w:val="00547D11"/>
    <w:rPr>
      <w:rFonts w:ascii="Times New Roman" w:hAnsi="Times New Roman"/>
      <w:b/>
      <w:bCs/>
      <w:iCs/>
      <w:sz w:val="24"/>
      <w:szCs w:val="28"/>
      <w:lang w:eastAsia="en-US"/>
    </w:rPr>
  </w:style>
  <w:style w:type="character" w:customStyle="1" w:styleId="Titre3Car">
    <w:name w:val="Titre 3 Car"/>
    <w:basedOn w:val="Policepardfaut"/>
    <w:link w:val="Titre3"/>
    <w:rsid w:val="00547D11"/>
    <w:rPr>
      <w:rFonts w:ascii="Times New Roman" w:eastAsia="Times New Roman" w:hAnsi="Times New Roman"/>
      <w:b/>
      <w:sz w:val="24"/>
    </w:rPr>
  </w:style>
  <w:style w:type="paragraph" w:customStyle="1" w:styleId="style3">
    <w:name w:val="style3"/>
    <w:basedOn w:val="Normal"/>
    <w:rsid w:val="008E1843"/>
    <w:pPr>
      <w:spacing w:before="100" w:beforeAutospacing="1" w:after="100" w:afterAutospacing="1"/>
      <w:jc w:val="left"/>
    </w:pPr>
    <w:rPr>
      <w:rFonts w:eastAsia="Times New Roman"/>
      <w:color w:val="008000"/>
      <w:szCs w:val="24"/>
      <w:lang w:eastAsia="fr-FR"/>
    </w:rPr>
  </w:style>
  <w:style w:type="paragraph" w:styleId="En-tte">
    <w:name w:val="header"/>
    <w:basedOn w:val="Normal"/>
    <w:link w:val="En-tteCar"/>
    <w:uiPriority w:val="99"/>
    <w:semiHidden/>
    <w:unhideWhenUsed/>
    <w:rsid w:val="008E1843"/>
    <w:pPr>
      <w:tabs>
        <w:tab w:val="center" w:pos="4536"/>
        <w:tab w:val="right" w:pos="9072"/>
      </w:tabs>
    </w:pPr>
  </w:style>
  <w:style w:type="character" w:customStyle="1" w:styleId="En-tteCar">
    <w:name w:val="En-tête Car"/>
    <w:basedOn w:val="Policepardfaut"/>
    <w:link w:val="En-tte"/>
    <w:uiPriority w:val="99"/>
    <w:semiHidden/>
    <w:rsid w:val="008E1843"/>
    <w:rPr>
      <w:rFonts w:ascii="Times New Roman" w:hAnsi="Times New Roman" w:cs="Times New Roman"/>
      <w:sz w:val="24"/>
    </w:rPr>
  </w:style>
  <w:style w:type="paragraph" w:styleId="Pieddepage">
    <w:name w:val="footer"/>
    <w:basedOn w:val="Normal"/>
    <w:link w:val="PieddepageCar"/>
    <w:uiPriority w:val="99"/>
    <w:unhideWhenUsed/>
    <w:rsid w:val="008E1843"/>
    <w:pPr>
      <w:tabs>
        <w:tab w:val="center" w:pos="4536"/>
        <w:tab w:val="right" w:pos="9072"/>
      </w:tabs>
    </w:pPr>
  </w:style>
  <w:style w:type="character" w:customStyle="1" w:styleId="PieddepageCar">
    <w:name w:val="Pied de page Car"/>
    <w:basedOn w:val="Policepardfaut"/>
    <w:link w:val="Pieddepage"/>
    <w:uiPriority w:val="99"/>
    <w:rsid w:val="008E1843"/>
    <w:rPr>
      <w:rFonts w:ascii="Times New Roman" w:hAnsi="Times New Roman" w:cs="Times New Roman"/>
      <w:sz w:val="24"/>
    </w:rPr>
  </w:style>
  <w:style w:type="character" w:styleId="Numrodepage">
    <w:name w:val="page number"/>
    <w:basedOn w:val="Policepardfaut"/>
    <w:semiHidden/>
    <w:rsid w:val="008E1843"/>
  </w:style>
  <w:style w:type="character" w:styleId="Lienhypertexte">
    <w:name w:val="Hyperlink"/>
    <w:basedOn w:val="Policepardfaut"/>
    <w:uiPriority w:val="99"/>
    <w:unhideWhenUsed/>
    <w:rsid w:val="002E531E"/>
    <w:rPr>
      <w:color w:val="0000FF"/>
      <w:u w:val="single"/>
    </w:rPr>
  </w:style>
  <w:style w:type="paragraph" w:styleId="Textedebulles">
    <w:name w:val="Balloon Text"/>
    <w:basedOn w:val="Normal"/>
    <w:link w:val="TextedebullesCar"/>
    <w:uiPriority w:val="99"/>
    <w:semiHidden/>
    <w:unhideWhenUsed/>
    <w:rsid w:val="002E531E"/>
    <w:rPr>
      <w:rFonts w:ascii="Tahoma" w:hAnsi="Tahoma" w:cs="Tahoma"/>
      <w:sz w:val="16"/>
      <w:szCs w:val="16"/>
    </w:rPr>
  </w:style>
  <w:style w:type="character" w:customStyle="1" w:styleId="TextedebullesCar">
    <w:name w:val="Texte de bulles Car"/>
    <w:basedOn w:val="Policepardfaut"/>
    <w:link w:val="Textedebulles"/>
    <w:uiPriority w:val="99"/>
    <w:semiHidden/>
    <w:rsid w:val="002E531E"/>
    <w:rPr>
      <w:rFonts w:ascii="Tahoma" w:hAnsi="Tahoma" w:cs="Tahoma"/>
      <w:sz w:val="16"/>
      <w:szCs w:val="16"/>
    </w:rPr>
  </w:style>
  <w:style w:type="paragraph" w:styleId="NormalWeb">
    <w:name w:val="Normal (Web)"/>
    <w:basedOn w:val="Normal"/>
    <w:uiPriority w:val="99"/>
    <w:unhideWhenUsed/>
    <w:rsid w:val="002E531E"/>
    <w:pPr>
      <w:spacing w:before="100" w:beforeAutospacing="1" w:after="100" w:afterAutospacing="1"/>
      <w:jc w:val="left"/>
    </w:pPr>
    <w:rPr>
      <w:rFonts w:eastAsia="Times New Roman"/>
      <w:szCs w:val="24"/>
      <w:lang w:eastAsia="fr-FR"/>
    </w:rPr>
  </w:style>
  <w:style w:type="character" w:customStyle="1" w:styleId="titreexercice1">
    <w:name w:val="titreexercice1"/>
    <w:basedOn w:val="Policepardfaut"/>
    <w:rsid w:val="002E531E"/>
    <w:rPr>
      <w:b/>
      <w:bCs/>
      <w:color w:val="800000"/>
      <w:sz w:val="24"/>
      <w:szCs w:val="24"/>
      <w:shd w:val="clear" w:color="auto" w:fill="FFCC00"/>
    </w:rPr>
  </w:style>
  <w:style w:type="paragraph" w:customStyle="1" w:styleId="couleure">
    <w:name w:val="couleure"/>
    <w:basedOn w:val="Normal"/>
    <w:rsid w:val="00C1182F"/>
    <w:pPr>
      <w:spacing w:before="100" w:beforeAutospacing="1" w:after="100" w:afterAutospacing="1"/>
      <w:jc w:val="left"/>
    </w:pPr>
    <w:rPr>
      <w:rFonts w:eastAsia="Times New Roman"/>
      <w:color w:val="333333"/>
      <w:szCs w:val="24"/>
      <w:lang w:eastAsia="fr-FR"/>
    </w:rPr>
  </w:style>
  <w:style w:type="paragraph" w:styleId="Paragraphedeliste">
    <w:name w:val="List Paragraph"/>
    <w:basedOn w:val="Normal"/>
    <w:uiPriority w:val="34"/>
    <w:qFormat/>
    <w:rsid w:val="00C1182F"/>
    <w:pPr>
      <w:ind w:left="720"/>
      <w:contextualSpacing/>
    </w:pPr>
  </w:style>
  <w:style w:type="character" w:customStyle="1" w:styleId="couleure1">
    <w:name w:val="couleure1"/>
    <w:basedOn w:val="Policepardfaut"/>
    <w:rsid w:val="00C1182F"/>
    <w:rPr>
      <w:color w:val="333333"/>
    </w:rPr>
  </w:style>
  <w:style w:type="paragraph" w:customStyle="1" w:styleId="titreexercice">
    <w:name w:val="titreexercice"/>
    <w:basedOn w:val="Normal"/>
    <w:rsid w:val="005274E7"/>
    <w:pPr>
      <w:shd w:val="clear" w:color="auto" w:fill="FFCC00"/>
      <w:jc w:val="left"/>
    </w:pPr>
    <w:rPr>
      <w:rFonts w:eastAsia="Times New Roman"/>
      <w:b/>
      <w:bCs/>
      <w:color w:val="800000"/>
      <w:szCs w:val="24"/>
      <w:lang w:eastAsia="fr-FR"/>
    </w:rPr>
  </w:style>
  <w:style w:type="character" w:styleId="lev">
    <w:name w:val="Strong"/>
    <w:basedOn w:val="Policepardfaut"/>
    <w:uiPriority w:val="22"/>
    <w:qFormat/>
    <w:rsid w:val="005274E7"/>
    <w:rPr>
      <w:b/>
      <w:bCs/>
    </w:rPr>
  </w:style>
  <w:style w:type="paragraph" w:customStyle="1" w:styleId="style2">
    <w:name w:val="style2"/>
    <w:basedOn w:val="Normal"/>
    <w:rsid w:val="00C345AD"/>
    <w:pPr>
      <w:spacing w:before="100" w:beforeAutospacing="1" w:after="100" w:afterAutospacing="1"/>
      <w:jc w:val="left"/>
    </w:pPr>
    <w:rPr>
      <w:rFonts w:eastAsia="Times New Roman"/>
      <w:szCs w:val="24"/>
      <w:lang w:eastAsia="fr-FR"/>
    </w:rPr>
  </w:style>
</w:styles>
</file>

<file path=word/webSettings.xml><?xml version="1.0" encoding="utf-8"?>
<w:webSettings xmlns:r="http://schemas.openxmlformats.org/officeDocument/2006/relationships" xmlns:w="http://schemas.openxmlformats.org/wordprocessingml/2006/main">
  <w:divs>
    <w:div w:id="277838538">
      <w:bodyDiv w:val="1"/>
      <w:marLeft w:val="0"/>
      <w:marRight w:val="0"/>
      <w:marTop w:val="0"/>
      <w:marBottom w:val="0"/>
      <w:divBdr>
        <w:top w:val="none" w:sz="0" w:space="0" w:color="auto"/>
        <w:left w:val="none" w:sz="0" w:space="0" w:color="auto"/>
        <w:bottom w:val="none" w:sz="0" w:space="0" w:color="auto"/>
        <w:right w:val="none" w:sz="0" w:space="0" w:color="auto"/>
      </w:divBdr>
      <w:divsChild>
        <w:div w:id="2073695988">
          <w:marLeft w:val="0"/>
          <w:marRight w:val="0"/>
          <w:marTop w:val="0"/>
          <w:marBottom w:val="0"/>
          <w:divBdr>
            <w:top w:val="none" w:sz="0" w:space="0" w:color="auto"/>
            <w:left w:val="none" w:sz="0" w:space="0" w:color="auto"/>
            <w:bottom w:val="none" w:sz="0" w:space="0" w:color="auto"/>
            <w:right w:val="none" w:sz="0" w:space="0" w:color="auto"/>
          </w:divBdr>
        </w:div>
      </w:divsChild>
    </w:div>
    <w:div w:id="545799628">
      <w:bodyDiv w:val="1"/>
      <w:marLeft w:val="0"/>
      <w:marRight w:val="0"/>
      <w:marTop w:val="0"/>
      <w:marBottom w:val="0"/>
      <w:divBdr>
        <w:top w:val="none" w:sz="0" w:space="0" w:color="auto"/>
        <w:left w:val="none" w:sz="0" w:space="0" w:color="auto"/>
        <w:bottom w:val="none" w:sz="0" w:space="0" w:color="auto"/>
        <w:right w:val="none" w:sz="0" w:space="0" w:color="auto"/>
      </w:divBdr>
      <w:divsChild>
        <w:div w:id="2106997978">
          <w:marLeft w:val="0"/>
          <w:marRight w:val="0"/>
          <w:marTop w:val="0"/>
          <w:marBottom w:val="0"/>
          <w:divBdr>
            <w:top w:val="none" w:sz="0" w:space="0" w:color="auto"/>
            <w:left w:val="none" w:sz="0" w:space="0" w:color="auto"/>
            <w:bottom w:val="none" w:sz="0" w:space="0" w:color="auto"/>
            <w:right w:val="none" w:sz="0" w:space="0" w:color="auto"/>
          </w:divBdr>
        </w:div>
      </w:divsChild>
    </w:div>
    <w:div w:id="574899329">
      <w:bodyDiv w:val="1"/>
      <w:marLeft w:val="0"/>
      <w:marRight w:val="0"/>
      <w:marTop w:val="0"/>
      <w:marBottom w:val="0"/>
      <w:divBdr>
        <w:top w:val="none" w:sz="0" w:space="0" w:color="auto"/>
        <w:left w:val="none" w:sz="0" w:space="0" w:color="auto"/>
        <w:bottom w:val="none" w:sz="0" w:space="0" w:color="auto"/>
        <w:right w:val="none" w:sz="0" w:space="0" w:color="auto"/>
      </w:divBdr>
      <w:divsChild>
        <w:div w:id="465587265">
          <w:marLeft w:val="0"/>
          <w:marRight w:val="0"/>
          <w:marTop w:val="0"/>
          <w:marBottom w:val="0"/>
          <w:divBdr>
            <w:top w:val="none" w:sz="0" w:space="0" w:color="auto"/>
            <w:left w:val="none" w:sz="0" w:space="0" w:color="auto"/>
            <w:bottom w:val="none" w:sz="0" w:space="0" w:color="auto"/>
            <w:right w:val="none" w:sz="0" w:space="0" w:color="auto"/>
          </w:divBdr>
        </w:div>
        <w:div w:id="1788037024">
          <w:marLeft w:val="0"/>
          <w:marRight w:val="0"/>
          <w:marTop w:val="0"/>
          <w:marBottom w:val="0"/>
          <w:divBdr>
            <w:top w:val="none" w:sz="0" w:space="0" w:color="auto"/>
            <w:left w:val="none" w:sz="0" w:space="0" w:color="auto"/>
            <w:bottom w:val="none" w:sz="0" w:space="0" w:color="auto"/>
            <w:right w:val="none" w:sz="0" w:space="0" w:color="auto"/>
          </w:divBdr>
        </w:div>
        <w:div w:id="1549999394">
          <w:marLeft w:val="0"/>
          <w:marRight w:val="0"/>
          <w:marTop w:val="0"/>
          <w:marBottom w:val="0"/>
          <w:divBdr>
            <w:top w:val="none" w:sz="0" w:space="0" w:color="auto"/>
            <w:left w:val="none" w:sz="0" w:space="0" w:color="auto"/>
            <w:bottom w:val="none" w:sz="0" w:space="0" w:color="auto"/>
            <w:right w:val="none" w:sz="0" w:space="0" w:color="auto"/>
          </w:divBdr>
        </w:div>
      </w:divsChild>
    </w:div>
    <w:div w:id="885604366">
      <w:bodyDiv w:val="1"/>
      <w:marLeft w:val="0"/>
      <w:marRight w:val="0"/>
      <w:marTop w:val="0"/>
      <w:marBottom w:val="0"/>
      <w:divBdr>
        <w:top w:val="none" w:sz="0" w:space="0" w:color="auto"/>
        <w:left w:val="none" w:sz="0" w:space="0" w:color="auto"/>
        <w:bottom w:val="none" w:sz="0" w:space="0" w:color="auto"/>
        <w:right w:val="none" w:sz="0" w:space="0" w:color="auto"/>
      </w:divBdr>
      <w:divsChild>
        <w:div w:id="1081833194">
          <w:marLeft w:val="0"/>
          <w:marRight w:val="0"/>
          <w:marTop w:val="0"/>
          <w:marBottom w:val="0"/>
          <w:divBdr>
            <w:top w:val="none" w:sz="0" w:space="0" w:color="auto"/>
            <w:left w:val="none" w:sz="0" w:space="0" w:color="auto"/>
            <w:bottom w:val="none" w:sz="0" w:space="0" w:color="auto"/>
            <w:right w:val="none" w:sz="0" w:space="0" w:color="auto"/>
          </w:divBdr>
        </w:div>
        <w:div w:id="495800020">
          <w:marLeft w:val="0"/>
          <w:marRight w:val="0"/>
          <w:marTop w:val="0"/>
          <w:marBottom w:val="0"/>
          <w:divBdr>
            <w:top w:val="none" w:sz="0" w:space="0" w:color="auto"/>
            <w:left w:val="none" w:sz="0" w:space="0" w:color="auto"/>
            <w:bottom w:val="none" w:sz="0" w:space="0" w:color="auto"/>
            <w:right w:val="none" w:sz="0" w:space="0" w:color="auto"/>
          </w:divBdr>
        </w:div>
      </w:divsChild>
    </w:div>
    <w:div w:id="992562061">
      <w:bodyDiv w:val="1"/>
      <w:marLeft w:val="0"/>
      <w:marRight w:val="0"/>
      <w:marTop w:val="0"/>
      <w:marBottom w:val="0"/>
      <w:divBdr>
        <w:top w:val="none" w:sz="0" w:space="0" w:color="auto"/>
        <w:left w:val="none" w:sz="0" w:space="0" w:color="auto"/>
        <w:bottom w:val="none" w:sz="0" w:space="0" w:color="auto"/>
        <w:right w:val="none" w:sz="0" w:space="0" w:color="auto"/>
      </w:divBdr>
      <w:divsChild>
        <w:div w:id="1393389110">
          <w:marLeft w:val="0"/>
          <w:marRight w:val="0"/>
          <w:marTop w:val="0"/>
          <w:marBottom w:val="0"/>
          <w:divBdr>
            <w:top w:val="none" w:sz="0" w:space="0" w:color="auto"/>
            <w:left w:val="none" w:sz="0" w:space="0" w:color="auto"/>
            <w:bottom w:val="none" w:sz="0" w:space="0" w:color="auto"/>
            <w:right w:val="none" w:sz="0" w:space="0" w:color="auto"/>
          </w:divBdr>
        </w:div>
      </w:divsChild>
    </w:div>
    <w:div w:id="1364525670">
      <w:bodyDiv w:val="1"/>
      <w:marLeft w:val="0"/>
      <w:marRight w:val="0"/>
      <w:marTop w:val="0"/>
      <w:marBottom w:val="0"/>
      <w:divBdr>
        <w:top w:val="none" w:sz="0" w:space="0" w:color="auto"/>
        <w:left w:val="none" w:sz="0" w:space="0" w:color="auto"/>
        <w:bottom w:val="none" w:sz="0" w:space="0" w:color="auto"/>
        <w:right w:val="none" w:sz="0" w:space="0" w:color="auto"/>
      </w:divBdr>
      <w:divsChild>
        <w:div w:id="1787500928">
          <w:marLeft w:val="0"/>
          <w:marRight w:val="0"/>
          <w:marTop w:val="0"/>
          <w:marBottom w:val="0"/>
          <w:divBdr>
            <w:top w:val="none" w:sz="0" w:space="0" w:color="auto"/>
            <w:left w:val="none" w:sz="0" w:space="0" w:color="auto"/>
            <w:bottom w:val="none" w:sz="0" w:space="0" w:color="auto"/>
            <w:right w:val="none" w:sz="0" w:space="0" w:color="auto"/>
          </w:divBdr>
        </w:div>
      </w:divsChild>
    </w:div>
    <w:div w:id="2122410991">
      <w:bodyDiv w:val="1"/>
      <w:marLeft w:val="0"/>
      <w:marRight w:val="0"/>
      <w:marTop w:val="0"/>
      <w:marBottom w:val="0"/>
      <w:divBdr>
        <w:top w:val="none" w:sz="0" w:space="0" w:color="auto"/>
        <w:left w:val="none" w:sz="0" w:space="0" w:color="auto"/>
        <w:bottom w:val="none" w:sz="0" w:space="0" w:color="auto"/>
        <w:right w:val="none" w:sz="0" w:space="0" w:color="auto"/>
      </w:divBdr>
      <w:divsChild>
        <w:div w:id="184514408">
          <w:marLeft w:val="0"/>
          <w:marRight w:val="0"/>
          <w:marTop w:val="0"/>
          <w:marBottom w:val="0"/>
          <w:divBdr>
            <w:top w:val="none" w:sz="0" w:space="0" w:color="auto"/>
            <w:left w:val="none" w:sz="0" w:space="0" w:color="auto"/>
            <w:bottom w:val="none" w:sz="0" w:space="0" w:color="auto"/>
            <w:right w:val="none" w:sz="0" w:space="0" w:color="auto"/>
          </w:divBdr>
        </w:div>
        <w:div w:id="13522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file:///D:\JANUARIO%20Carlos\Mon%20travail\IUT%20en%20Ligne\Modulest\ModXML6\modsrc\FIN-INTER-01\Chapitre-03\Marche-financier.html" TargetMode="External"/><Relationship Id="rId26" Type="http://schemas.openxmlformats.org/officeDocument/2006/relationships/image" Target="media/image13.gif"/><Relationship Id="rId3" Type="http://schemas.openxmlformats.org/officeDocument/2006/relationships/styles" Target="styles.xml"/><Relationship Id="rId21" Type="http://schemas.openxmlformats.org/officeDocument/2006/relationships/hyperlink" Target="http://www.census.gov/foreign-trade/balance/c0004.html" TargetMode="External"/><Relationship Id="rId7" Type="http://schemas.openxmlformats.org/officeDocument/2006/relationships/endnotes" Target="endnotes.xml"/><Relationship Id="rId12" Type="http://schemas.openxmlformats.org/officeDocument/2006/relationships/hyperlink" Target="file:///D:\JANUARIO%20Carlos\Mon%20travail\IUT%20en%20Ligne\Modulest\ModXML6\modsrc\FIN-INTER-01\Chapitre-02\OMC.html" TargetMode="External"/><Relationship Id="rId17" Type="http://schemas.openxmlformats.org/officeDocument/2006/relationships/image" Target="media/image6.jpe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wto.org/indexfr.htm" TargetMode="External"/><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file:///D:\JANUARIO%20Carlos\Mon%20travail\IUT%20en%20Ligne\Modulest\ModXML6\modsrc\FIN-INTER-01\Chapitre-01\Marche-financier.html"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file:///D:\JANUARIO%20Carlos\Mon%20travail\IUT%20en%20Ligne\Modulest\ModXML6\modsrc\FIN-INTER-01\Chapitre-01\Marche-financier.html" TargetMode="Externa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471C5-8F1A-4214-8F99-BEA392FA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1992</Words>
  <Characters>10961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JANUARIO Carlos</dc:creator>
  <cp:keywords/>
  <dc:description/>
  <cp:lastModifiedBy>JANUARIO Carlos</cp:lastModifiedBy>
  <cp:revision>7</cp:revision>
  <dcterms:created xsi:type="dcterms:W3CDTF">2008-08-30T14:39:00Z</dcterms:created>
  <dcterms:modified xsi:type="dcterms:W3CDTF">2008-10-09T13:32:00Z</dcterms:modified>
</cp:coreProperties>
</file>