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F" w:rsidRPr="004D44FF" w:rsidRDefault="00A8373A" w:rsidP="004D44F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</w:t>
      </w:r>
      <w:r w:rsidR="00573B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CETEAU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ANNEXE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</w:t>
      </w:r>
      <w:r w:rsidR="00094AC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4D44FF" w:rsidRDefault="004D44FF" w:rsidP="004D44FF"/>
    <w:p w:rsidR="00573B27" w:rsidRDefault="00573B27" w:rsidP="00573B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782"/>
        <w:gridCol w:w="1321"/>
        <w:gridCol w:w="1147"/>
        <w:gridCol w:w="2178"/>
      </w:tblGrid>
      <w:tr w:rsidR="00573B27" w:rsidRPr="00094ACC" w:rsidTr="007E071E">
        <w:trPr>
          <w:trHeight w:hRule="exact" w:val="624"/>
          <w:jc w:val="center"/>
        </w:trPr>
        <w:tc>
          <w:tcPr>
            <w:tcW w:w="5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73B27" w:rsidRPr="00094ACC" w:rsidRDefault="00573B27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Ventes et prestations de service</w:t>
            </w:r>
          </w:p>
        </w:tc>
        <w:tc>
          <w:tcPr>
            <w:tcW w:w="132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73B27" w:rsidRPr="00094ACC" w:rsidRDefault="00573B27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Montants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73B27" w:rsidRPr="00094ACC" w:rsidRDefault="00573B27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Montants de TVA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573B27" w:rsidRPr="00094ACC" w:rsidRDefault="00573B27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Commentaires</w:t>
            </w:r>
          </w:p>
        </w:tc>
      </w:tr>
      <w:tr w:rsidR="00573B27" w:rsidRPr="00094ACC" w:rsidTr="007E071E">
        <w:trPr>
          <w:trHeight w:hRule="exact" w:val="624"/>
          <w:jc w:val="center"/>
        </w:trPr>
        <w:tc>
          <w:tcPr>
            <w:tcW w:w="5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7D3BD5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avances</w:t>
            </w:r>
            <w:r w:rsidRPr="00606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reçues par chèques bancaires lors de commandes de services par des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7D3BD5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62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7D3BD5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TTC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biens livrés et facturés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aux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7D3BD5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861 120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62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7D3BD5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acomptes reçus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 virements bancaires sur les factures de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ventes de biens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adressées aux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7D3BD5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39 500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62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7D3BD5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TTC des encaissements sur les ventes de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biens livrés et facturés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aux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7D3BD5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598 000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62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7D3BD5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HT des prestations de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services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rendues et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facturées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aux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7D3BD5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160 000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62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7D3BD5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TTC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encaissements sur services réalisés et déjà facturés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aux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7D3BD5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95 680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62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7" w:rsidRPr="007D3BD5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des acomptes reçus de clients par virements bancaires sur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prestations déjà facturées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7" w:rsidRPr="007D3BD5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29 900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73B27" w:rsidRPr="00094ACC" w:rsidTr="007E071E">
        <w:trPr>
          <w:trHeight w:hRule="exact" w:val="62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7" w:rsidRPr="007D3BD5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Livraisons intracommunautaires de biens HT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7" w:rsidRPr="007D3BD5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40 000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73B27" w:rsidRPr="00094ACC" w:rsidTr="007E071E">
        <w:trPr>
          <w:trHeight w:hRule="exact" w:val="62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7" w:rsidRPr="007D3BD5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Encaissements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soldes des factures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prestations de services : chèques bancaires reçus de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7" w:rsidRPr="007D3BD5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59 800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73B27" w:rsidRPr="00094ACC" w:rsidTr="007E071E">
        <w:trPr>
          <w:trHeight w:hRule="exact" w:val="62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7" w:rsidRPr="007D3BD5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Ventes HT de biens en Suisse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7" w:rsidRPr="007D3BD5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65 000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573B27" w:rsidRDefault="00573B27" w:rsidP="00573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B27" w:rsidRDefault="00573B27" w:rsidP="00573B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782"/>
        <w:gridCol w:w="1321"/>
        <w:gridCol w:w="1147"/>
        <w:gridCol w:w="2178"/>
      </w:tblGrid>
      <w:tr w:rsidR="00573B27" w:rsidRPr="00094ACC" w:rsidTr="007E071E">
        <w:trPr>
          <w:trHeight w:hRule="exact" w:val="567"/>
          <w:jc w:val="center"/>
        </w:trPr>
        <w:tc>
          <w:tcPr>
            <w:tcW w:w="5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73B27" w:rsidRPr="00094ACC" w:rsidRDefault="00573B27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Achats de biens et de services en France</w:t>
            </w:r>
          </w:p>
        </w:tc>
        <w:tc>
          <w:tcPr>
            <w:tcW w:w="132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73B27" w:rsidRPr="00094ACC" w:rsidRDefault="00573B27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Montants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73B27" w:rsidRPr="00094ACC" w:rsidRDefault="00573B27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Montants de TVA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573B27" w:rsidRPr="00094ACC" w:rsidRDefault="00573B27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Commentaires</w:t>
            </w:r>
          </w:p>
        </w:tc>
      </w:tr>
      <w:tr w:rsidR="00573B27" w:rsidRPr="00094ACC" w:rsidTr="007E071E">
        <w:trPr>
          <w:trHeight w:hRule="exact" w:val="680"/>
          <w:jc w:val="center"/>
        </w:trPr>
        <w:tc>
          <w:tcPr>
            <w:tcW w:w="5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573B27" w:rsidRDefault="00573B27" w:rsidP="00573B27">
            <w:pPr>
              <w:pStyle w:val="Titre6"/>
              <w:spacing w:before="0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573B2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Montant TTC des biens livrés et facturés par les fournisseurs (factures reçues)</w:t>
            </w:r>
            <w:r w:rsidRPr="00573B27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606DAB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287 040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680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573B27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B27">
              <w:rPr>
                <w:rFonts w:ascii="Times New Roman" w:hAnsi="Times New Roman" w:cs="Times New Roman"/>
                <w:bCs/>
                <w:sz w:val="24"/>
                <w:szCs w:val="24"/>
              </w:rPr>
              <w:t>Montant TTC des règlements de factures de biens reçues des fournisseurs.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606DAB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138 000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737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606DAB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 xml:space="preserve">Montant TTC des factures reçues pour des services exécutés par les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fournisseurs ayant opté sur les débits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606DAB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107 640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73B27" w:rsidRPr="00094ACC" w:rsidTr="007E071E">
        <w:trPr>
          <w:trHeight w:hRule="exact" w:val="737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606DAB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 xml:space="preserve">Montant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avances</w:t>
            </w:r>
            <w:r w:rsidRPr="00606DAB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versées</w:t>
            </w:r>
            <w:r w:rsidRPr="00606DAB">
              <w:rPr>
                <w:rFonts w:ascii="Times New Roman" w:hAnsi="Times New Roman" w:cs="Times New Roman"/>
                <w:bCs/>
                <w:sz w:val="24"/>
              </w:rPr>
              <w:t xml:space="preserve"> par chèques bancaires sur commandes de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prestations de services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606DAB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38 272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680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606DAB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 xml:space="preserve">Montant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chèques bancaires</w:t>
            </w:r>
            <w:r w:rsidRPr="00606DAB">
              <w:rPr>
                <w:rFonts w:ascii="Times New Roman" w:hAnsi="Times New Roman" w:cs="Times New Roman"/>
                <w:bCs/>
                <w:sz w:val="24"/>
              </w:rPr>
              <w:t xml:space="preserve"> émis et adressés à des prestataires de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services</w:t>
            </w:r>
            <w:r w:rsidRPr="00606DAB">
              <w:rPr>
                <w:rFonts w:ascii="Times New Roman" w:hAnsi="Times New Roman" w:cs="Times New Roman"/>
                <w:bCs/>
                <w:sz w:val="24"/>
              </w:rPr>
              <w:t xml:space="preserve"> n’ayant pas opté sur les débits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606DAB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96 876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79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606DAB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Montant des virements bancaires effectués pour règlements des factures de services réalisés par des fournisseurs n’ayant pas opté sur les débits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606DAB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88 504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573B27" w:rsidRDefault="00573B27" w:rsidP="00573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B27" w:rsidRDefault="00573B27" w:rsidP="00573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B27" w:rsidRDefault="00573B27" w:rsidP="00573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B27" w:rsidRDefault="00573B27" w:rsidP="00573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B27" w:rsidRDefault="00573B27" w:rsidP="00573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B27" w:rsidRDefault="00573B27" w:rsidP="00573B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782"/>
        <w:gridCol w:w="1321"/>
        <w:gridCol w:w="1147"/>
        <w:gridCol w:w="2178"/>
      </w:tblGrid>
      <w:tr w:rsidR="00573B27" w:rsidRPr="00094ACC" w:rsidTr="007E071E">
        <w:trPr>
          <w:trHeight w:hRule="exact" w:val="567"/>
          <w:jc w:val="center"/>
        </w:trPr>
        <w:tc>
          <w:tcPr>
            <w:tcW w:w="5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73B27" w:rsidRPr="00094ACC" w:rsidRDefault="00573B27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 xml:space="preserve">Autres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opérations</w:t>
            </w:r>
          </w:p>
        </w:tc>
        <w:tc>
          <w:tcPr>
            <w:tcW w:w="132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73B27" w:rsidRPr="00094ACC" w:rsidRDefault="00573B27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Montants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73B27" w:rsidRPr="00094ACC" w:rsidRDefault="00573B27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Montants de TVA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573B27" w:rsidRPr="00094ACC" w:rsidRDefault="00573B27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Commentaires</w:t>
            </w:r>
          </w:p>
        </w:tc>
      </w:tr>
      <w:tr w:rsidR="00573B27" w:rsidRPr="00094ACC" w:rsidTr="007E071E">
        <w:trPr>
          <w:trHeight w:hRule="exact" w:val="794"/>
          <w:jc w:val="center"/>
        </w:trPr>
        <w:tc>
          <w:tcPr>
            <w:tcW w:w="5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573B27" w:rsidRDefault="00573B27" w:rsidP="00573B27">
            <w:pPr>
              <w:pStyle w:val="Titre6"/>
              <w:spacing w:before="0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573B27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Montant HT des immobilisations produites (livraisons à soi même)</w:t>
            </w:r>
            <w:r w:rsidRPr="00573B27">
              <w:rPr>
                <w:b/>
                <w:bCs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D772A6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50 000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737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573B27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73B27">
              <w:rPr>
                <w:rFonts w:ascii="Times New Roman" w:hAnsi="Times New Roman" w:cs="Times New Roman"/>
                <w:bCs/>
                <w:sz w:val="24"/>
              </w:rPr>
              <w:t>Montants HT des achats d’autres biens et services auprès de fournisseurs européens identifiés.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D772A6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42 000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680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D772A6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TVA"/>
              </w:smartTagPr>
              <w:r w:rsidRPr="00D772A6">
                <w:rPr>
                  <w:rFonts w:ascii="Times New Roman" w:hAnsi="Times New Roman" w:cs="Times New Roman"/>
                  <w:bCs/>
                  <w:sz w:val="24"/>
                </w:rPr>
                <w:t>la TVA</w:t>
              </w:r>
            </w:smartTag>
            <w:r w:rsidRPr="00D772A6">
              <w:rPr>
                <w:rFonts w:ascii="Times New Roman" w:hAnsi="Times New Roman" w:cs="Times New Roman"/>
                <w:bCs/>
                <w:sz w:val="24"/>
              </w:rPr>
              <w:t xml:space="preserve"> à reverser suite à des opérations de régularisations de cessions d’immeubles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D772A6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79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D772A6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Prix de cessions HT de matériels immobilisés d’occasion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D772A6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18 000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73B27" w:rsidRPr="00094ACC" w:rsidTr="007E071E">
        <w:trPr>
          <w:trHeight w:hRule="exact" w:val="79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D772A6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Acquisitions intracommunautaires de matériels industriels auprès de fournisseurs européens identifiés (HT)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D772A6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90 000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73B27" w:rsidRPr="00094ACC" w:rsidTr="007E071E">
        <w:trPr>
          <w:trHeight w:hRule="exact" w:val="794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D772A6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Compléments de déduction suite à certaines opérations de régularisations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D772A6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D772A6">
              <w:rPr>
                <w:rFonts w:ascii="Times New Roman" w:hAnsi="Times New Roman" w:cs="Times New Roman"/>
                <w:bCs/>
                <w:sz w:val="24"/>
              </w:rPr>
              <w:t xml:space="preserve">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3B27" w:rsidRPr="00094ACC" w:rsidTr="007E071E">
        <w:trPr>
          <w:trHeight w:hRule="exact" w:val="680"/>
          <w:jc w:val="center"/>
        </w:trPr>
        <w:tc>
          <w:tcPr>
            <w:tcW w:w="5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D772A6" w:rsidRDefault="00573B27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Crédit de TVA du mois précédent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D772A6" w:rsidRDefault="00573B27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D772A6">
              <w:rPr>
                <w:rFonts w:ascii="Times New Roman" w:hAnsi="Times New Roman" w:cs="Times New Roman"/>
                <w:bCs/>
                <w:sz w:val="24"/>
              </w:rPr>
              <w:t xml:space="preserve">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3B27" w:rsidRPr="00094ACC" w:rsidRDefault="00573B27" w:rsidP="007E07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573B27" w:rsidRDefault="00573B27" w:rsidP="00573B27">
      <w:pPr>
        <w:pStyle w:val="Titre2"/>
      </w:pPr>
    </w:p>
    <w:p w:rsidR="00573B27" w:rsidRPr="004D44FF" w:rsidRDefault="00573B27" w:rsidP="004D44FF"/>
    <w:sectPr w:rsidR="00573B27" w:rsidRPr="004D44FF" w:rsidSect="006F480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04" w:rsidRDefault="00A40704" w:rsidP="00E96B39">
      <w:r>
        <w:separator/>
      </w:r>
    </w:p>
  </w:endnote>
  <w:endnote w:type="continuationSeparator" w:id="0">
    <w:p w:rsidR="00A40704" w:rsidRDefault="00A40704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2444"/>
      <w:docPartObj>
        <w:docPartGallery w:val="Page Numbers (Bottom of Page)"/>
        <w:docPartUnique/>
      </w:docPartObj>
    </w:sdtPr>
    <w:sdtContent>
      <w:p w:rsidR="001140C0" w:rsidRDefault="001140C0" w:rsidP="00B7573A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573B27">
          <w:rPr>
            <w:rFonts w:ascii="Times New Roman" w:hAnsi="Times New Roman" w:cs="Times New Roman"/>
            <w:b/>
            <w:sz w:val="20"/>
            <w:szCs w:val="20"/>
          </w:rPr>
          <w:t>CETEAU</w:t>
        </w:r>
        <w:r w:rsidR="00573B27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04" w:rsidRDefault="00A40704" w:rsidP="00E96B39">
      <w:r>
        <w:separator/>
      </w:r>
    </w:p>
  </w:footnote>
  <w:footnote w:type="continuationSeparator" w:id="0">
    <w:p w:rsidR="00A40704" w:rsidRDefault="00A40704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94ACC"/>
    <w:rsid w:val="000A1713"/>
    <w:rsid w:val="000A2255"/>
    <w:rsid w:val="000B2020"/>
    <w:rsid w:val="000B6E6C"/>
    <w:rsid w:val="000C40AE"/>
    <w:rsid w:val="000C6740"/>
    <w:rsid w:val="000E0152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3049"/>
    <w:rsid w:val="003A3090"/>
    <w:rsid w:val="003A4879"/>
    <w:rsid w:val="003A5686"/>
    <w:rsid w:val="003A6462"/>
    <w:rsid w:val="003B0B4C"/>
    <w:rsid w:val="003D2786"/>
    <w:rsid w:val="003D4327"/>
    <w:rsid w:val="003E18CF"/>
    <w:rsid w:val="003E4C64"/>
    <w:rsid w:val="003E674E"/>
    <w:rsid w:val="003F219D"/>
    <w:rsid w:val="00407701"/>
    <w:rsid w:val="00422C4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D44FF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3B27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D70A2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B6518"/>
    <w:rsid w:val="006C181C"/>
    <w:rsid w:val="006C36AC"/>
    <w:rsid w:val="006C49EA"/>
    <w:rsid w:val="006C4D77"/>
    <w:rsid w:val="006D4DAA"/>
    <w:rsid w:val="006F4807"/>
    <w:rsid w:val="006F7044"/>
    <w:rsid w:val="007220B3"/>
    <w:rsid w:val="007650EB"/>
    <w:rsid w:val="007808E8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4451"/>
    <w:rsid w:val="007F74FB"/>
    <w:rsid w:val="00800E03"/>
    <w:rsid w:val="008045EC"/>
    <w:rsid w:val="00817A00"/>
    <w:rsid w:val="008310D9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40704"/>
    <w:rsid w:val="00A54D29"/>
    <w:rsid w:val="00A57478"/>
    <w:rsid w:val="00A67D6D"/>
    <w:rsid w:val="00A72845"/>
    <w:rsid w:val="00A8373A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E2999"/>
    <w:rsid w:val="00AE31A8"/>
    <w:rsid w:val="00AE7C3D"/>
    <w:rsid w:val="00B32B27"/>
    <w:rsid w:val="00B654CE"/>
    <w:rsid w:val="00B6579D"/>
    <w:rsid w:val="00B71F08"/>
    <w:rsid w:val="00B74F2B"/>
    <w:rsid w:val="00B7573A"/>
    <w:rsid w:val="00B85E35"/>
    <w:rsid w:val="00B91E84"/>
    <w:rsid w:val="00BA0F79"/>
    <w:rsid w:val="00BA5E81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83381"/>
    <w:rsid w:val="00C90CFE"/>
    <w:rsid w:val="00C91B93"/>
    <w:rsid w:val="00C91BA2"/>
    <w:rsid w:val="00CA3F25"/>
    <w:rsid w:val="00CB2DAA"/>
    <w:rsid w:val="00CB7D0B"/>
    <w:rsid w:val="00CC1DC9"/>
    <w:rsid w:val="00CC4474"/>
    <w:rsid w:val="00CD1EC7"/>
    <w:rsid w:val="00CD69B9"/>
    <w:rsid w:val="00CF0C84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3B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  <w:style w:type="character" w:customStyle="1" w:styleId="Titre6Car">
    <w:name w:val="Titre 6 Car"/>
    <w:basedOn w:val="Policepardfaut"/>
    <w:link w:val="Titre6"/>
    <w:uiPriority w:val="9"/>
    <w:semiHidden/>
    <w:rsid w:val="00573B2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BDBD-236E-4AE2-8EB2-8A95C8E1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2012-03-18T10:40:00Z</dcterms:created>
  <dcterms:modified xsi:type="dcterms:W3CDTF">2012-04-15T15:57:00Z</dcterms:modified>
</cp:coreProperties>
</file>