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AE5150" w:rsidRDefault="00AE5150"/>
    <w:p w:rsidR="00AE5150" w:rsidRDefault="00AE5150"/>
    <w:tbl>
      <w:tblPr>
        <w:tblStyle w:val="Grilledutableau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E5B8B7" w:themeFill="accent2" w:themeFillTint="66"/>
        <w:tblLook w:val="04A0"/>
      </w:tblPr>
      <w:tblGrid>
        <w:gridCol w:w="9779"/>
      </w:tblGrid>
      <w:tr w:rsidR="00AE5150" w:rsidRPr="00F20969" w:rsidTr="00700E19">
        <w:trPr>
          <w:jc w:val="center"/>
        </w:trPr>
        <w:tc>
          <w:tcPr>
            <w:tcW w:w="9779" w:type="dxa"/>
            <w:shd w:val="clear" w:color="auto" w:fill="E5B8B7" w:themeFill="accent2" w:themeFillTint="66"/>
          </w:tcPr>
          <w:p w:rsidR="00AE5150" w:rsidRPr="00F20969" w:rsidRDefault="00AE5150" w:rsidP="00700E19">
            <w:pPr>
              <w:spacing w:before="60" w:after="6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Société DOLUS – Caractéristiques du projet d’investissement</w:t>
            </w:r>
          </w:p>
        </w:tc>
      </w:tr>
      <w:tr w:rsidR="00AE5150" w:rsidTr="00700E19">
        <w:trPr>
          <w:jc w:val="center"/>
        </w:trPr>
        <w:tc>
          <w:tcPr>
            <w:tcW w:w="9779" w:type="dxa"/>
            <w:shd w:val="clear" w:color="auto" w:fill="auto"/>
          </w:tcPr>
          <w:p w:rsidR="00AE5150" w:rsidRDefault="00AE5150" w:rsidP="00700E19">
            <w:pPr>
              <w:spacing w:before="120"/>
            </w:pPr>
            <w:r>
              <w:t>1°) Quantités et prix de vente prévus chaque année :</w:t>
            </w:r>
          </w:p>
          <w:p w:rsidR="00AE5150" w:rsidRDefault="00AE5150" w:rsidP="00700E19">
            <w:pPr>
              <w:spacing w:before="120"/>
              <w:ind w:firstLine="708"/>
            </w:pPr>
            <w:r>
              <w:t>Année 1 : 150 unités à 75 € l’une.</w:t>
            </w:r>
          </w:p>
          <w:p w:rsidR="00AE5150" w:rsidRDefault="00AE5150" w:rsidP="00700E19">
            <w:pPr>
              <w:ind w:firstLine="708"/>
            </w:pPr>
            <w:r>
              <w:t>Année 2 :</w:t>
            </w:r>
            <w:r w:rsidRPr="005F04C0">
              <w:t xml:space="preserve"> </w:t>
            </w:r>
            <w:r>
              <w:t>160 unités à 78 € l’une.</w:t>
            </w:r>
          </w:p>
          <w:p w:rsidR="00AE5150" w:rsidRDefault="00AE5150" w:rsidP="00700E19">
            <w:pPr>
              <w:ind w:firstLine="708"/>
            </w:pPr>
            <w:r>
              <w:t>Année 3 : 170 unités à 80 € l’une.</w:t>
            </w:r>
          </w:p>
          <w:p w:rsidR="00AE5150" w:rsidRDefault="00AE5150" w:rsidP="00700E19">
            <w:pPr>
              <w:ind w:firstLine="708"/>
            </w:pPr>
            <w:r>
              <w:t>Année 4 : 180 unités à 82 € l’une.</w:t>
            </w:r>
          </w:p>
          <w:p w:rsidR="00AE5150" w:rsidRDefault="00AE5150" w:rsidP="00700E19">
            <w:pPr>
              <w:spacing w:before="120"/>
            </w:pPr>
            <w:r>
              <w:t>2°) Charges variables unitaires :</w:t>
            </w:r>
          </w:p>
          <w:p w:rsidR="00AE5150" w:rsidRDefault="00AE5150" w:rsidP="00700E19">
            <w:pPr>
              <w:spacing w:before="120"/>
              <w:ind w:firstLine="708"/>
            </w:pPr>
            <w:r>
              <w:t>Année 1 : 60 € l’une.</w:t>
            </w:r>
          </w:p>
          <w:p w:rsidR="00AE5150" w:rsidRDefault="00AE5150" w:rsidP="00700E19">
            <w:pPr>
              <w:ind w:firstLine="708"/>
            </w:pPr>
            <w:r>
              <w:t>Année 2 :</w:t>
            </w:r>
            <w:r w:rsidRPr="005F04C0">
              <w:t xml:space="preserve"> </w:t>
            </w:r>
            <w:r>
              <w:t>62 € l’une.</w:t>
            </w:r>
          </w:p>
          <w:p w:rsidR="00AE5150" w:rsidRDefault="00AE5150" w:rsidP="00700E19">
            <w:pPr>
              <w:ind w:firstLine="708"/>
            </w:pPr>
            <w:r>
              <w:t>Année 3 : 64 € l’une.</w:t>
            </w:r>
          </w:p>
          <w:p w:rsidR="00AE5150" w:rsidRDefault="00AE5150" w:rsidP="00700E19">
            <w:pPr>
              <w:ind w:firstLine="708"/>
            </w:pPr>
            <w:r>
              <w:t>Année 4 : 66 € l’une.</w:t>
            </w:r>
          </w:p>
          <w:p w:rsidR="00AE5150" w:rsidRDefault="00AE5150" w:rsidP="00700E19">
            <w:pPr>
              <w:spacing w:before="120"/>
            </w:pPr>
            <w:r>
              <w:t>3°) Charges fixes annuelles décaissées : 1400 K€.</w:t>
            </w:r>
          </w:p>
          <w:p w:rsidR="00AE5150" w:rsidRDefault="00AE5150" w:rsidP="00700E19">
            <w:pPr>
              <w:spacing w:before="120"/>
            </w:pPr>
            <w:r>
              <w:t>4°) Dotations annuelles aux amortissements : 300 K€.</w:t>
            </w:r>
          </w:p>
          <w:p w:rsidR="00AE5150" w:rsidRDefault="00AE5150" w:rsidP="00700E19">
            <w:pPr>
              <w:spacing w:before="120"/>
            </w:pPr>
            <w:r>
              <w:t>5°) Investissement réalisé en fin d’année 0 : 1200 K€.</w:t>
            </w:r>
          </w:p>
          <w:p w:rsidR="00AE5150" w:rsidRDefault="00AE5150" w:rsidP="00700E19">
            <w:pPr>
              <w:spacing w:before="120"/>
            </w:pPr>
            <w:r>
              <w:t>6°) Valeur résiduelle nulle de l’équipement en fin d’année 4.</w:t>
            </w:r>
          </w:p>
          <w:p w:rsidR="00AE5150" w:rsidRDefault="00AE5150" w:rsidP="00700E19">
            <w:pPr>
              <w:spacing w:before="120"/>
            </w:pPr>
            <w:r>
              <w:t>7°) Evolution du Besoin en Fonds de Roulement d’Exploitation :</w:t>
            </w:r>
          </w:p>
          <w:p w:rsidR="00AE5150" w:rsidRDefault="00AE5150" w:rsidP="00700E19">
            <w:pPr>
              <w:spacing w:before="120"/>
              <w:ind w:firstLine="708"/>
            </w:pPr>
            <w:r>
              <w:t>a) Constitution en fin d’année 0 : 600 K€.</w:t>
            </w:r>
          </w:p>
          <w:p w:rsidR="00AE5150" w:rsidRDefault="00AE5150" w:rsidP="00700E19">
            <w:pPr>
              <w:ind w:firstLine="708"/>
            </w:pPr>
            <w:r>
              <w:t>b) Augmentations annuelles : 15 K€, 25 K€, 602 K€.</w:t>
            </w:r>
          </w:p>
          <w:p w:rsidR="00AE5150" w:rsidRDefault="00AE5150" w:rsidP="00700E19">
            <w:pPr>
              <w:ind w:firstLine="708"/>
            </w:pPr>
            <w:r>
              <w:t>c) Récupération totale : fin d’année 4.</w:t>
            </w:r>
          </w:p>
          <w:p w:rsidR="00AE5150" w:rsidRDefault="00AE5150" w:rsidP="00700E19">
            <w:pPr>
              <w:spacing w:before="120"/>
            </w:pPr>
            <w:r>
              <w:t>8°) Taux d’impôt sur les bénéfices : 33,33 %.</w:t>
            </w:r>
          </w:p>
          <w:p w:rsidR="00AE5150" w:rsidRDefault="00AE5150" w:rsidP="00700E19">
            <w:pPr>
              <w:spacing w:before="120" w:after="120"/>
            </w:pPr>
            <w:r>
              <w:t>9°) Taux d’actualisation : 12 %.</w:t>
            </w:r>
          </w:p>
        </w:tc>
      </w:tr>
    </w:tbl>
    <w:p w:rsidR="00AE5150" w:rsidRDefault="00AE5150"/>
    <w:sectPr w:rsidR="00AE5150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E5150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AE5150"/>
    <w:rsid w:val="00B14669"/>
    <w:rsid w:val="00B254D2"/>
    <w:rsid w:val="00B51B5A"/>
    <w:rsid w:val="00BB3AA8"/>
    <w:rsid w:val="00C03F10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50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AE5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2010-04-27T11:52:00Z</dcterms:created>
  <dcterms:modified xsi:type="dcterms:W3CDTF">2010-04-27T11:53:00Z</dcterms:modified>
</cp:coreProperties>
</file>