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7" w:type="dxa"/>
        <w:jc w:val="center"/>
        <w:tblCellMar>
          <w:left w:w="70" w:type="dxa"/>
          <w:right w:w="70" w:type="dxa"/>
        </w:tblCellMar>
        <w:tblLook w:val="04A0"/>
      </w:tblPr>
      <w:tblGrid>
        <w:gridCol w:w="5260"/>
        <w:gridCol w:w="284"/>
        <w:gridCol w:w="480"/>
        <w:gridCol w:w="687"/>
        <w:gridCol w:w="299"/>
        <w:gridCol w:w="467"/>
        <w:gridCol w:w="651"/>
        <w:gridCol w:w="1559"/>
      </w:tblGrid>
      <w:tr w:rsidR="00A8595E" w:rsidRPr="00A8595E" w:rsidTr="00A8595E">
        <w:trPr>
          <w:trHeight w:val="330"/>
          <w:jc w:val="center"/>
        </w:trPr>
        <w:tc>
          <w:tcPr>
            <w:tcW w:w="9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SARL LA BREE - Variations de trésorerie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9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du BFRHE dans le tableau de financement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Créances diverses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Dettes diverses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du BFRHE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A8595E">
              <w:rPr>
                <w:rFonts w:eastAsia="Times New Roman"/>
                <w:color w:val="000000"/>
                <w:szCs w:val="24"/>
                <w:lang w:eastAsia="fr-FR"/>
              </w:rPr>
              <w:t>Variation FRNG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A8595E">
              <w:rPr>
                <w:rFonts w:eastAsia="Times New Roman"/>
                <w:color w:val="000000"/>
                <w:szCs w:val="24"/>
                <w:lang w:eastAsia="fr-FR"/>
              </w:rPr>
              <w:t>Variation BFRE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A8595E">
              <w:rPr>
                <w:rFonts w:eastAsia="Times New Roman"/>
                <w:color w:val="000000"/>
                <w:szCs w:val="24"/>
                <w:lang w:eastAsia="fr-FR"/>
              </w:rPr>
              <w:t>Variation BFRHE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color w:val="FF0000"/>
                <w:sz w:val="8"/>
                <w:szCs w:val="8"/>
                <w:lang w:eastAsia="fr-FR"/>
              </w:rPr>
            </w:pPr>
            <w:r w:rsidRPr="00A8595E">
              <w:rPr>
                <w:rFonts w:eastAsia="Times New Roman"/>
                <w:b/>
                <w:bCs/>
                <w:color w:val="FF0000"/>
                <w:sz w:val="8"/>
                <w:szCs w:val="8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 w:val="8"/>
                <w:szCs w:val="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96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Vérification de la variation de Trésorerie Nette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Trésorerie Passive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81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 selon les flux de trésorerie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Excédent de Trésorerie d'Exploitation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Charges financières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Impôts sur bénéfices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Variation BFRHE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Flux nets de trésorerie hors exploitation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Augmentation de capital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Remboursement d'emprunts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Flux nets de trésorerie opérations de financement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Dividendes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Flux nets de trésorerie opérations d'investisseme</w:t>
            </w:r>
            <w:r>
              <w:rPr>
                <w:rFonts w:eastAsia="Times New Roman"/>
                <w:b/>
                <w:bCs/>
                <w:szCs w:val="24"/>
                <w:lang w:eastAsia="fr-FR"/>
              </w:rPr>
              <w:t>nt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Acquisitions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Cessions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81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Affectation de l'Excédent de Trésorerie d'Exploitation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Excédent de Trésorerie d'Exploitation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Charges financières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Impôts sur bénéfices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Remboursement d'emprunts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Acquisitions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0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Dividendes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Total I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Augmentation capital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Cessions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5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Variation BFRHE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8595E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5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Total II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A8595E" w:rsidRPr="00A8595E" w:rsidTr="00A8595E">
        <w:trPr>
          <w:trHeight w:val="284"/>
          <w:jc w:val="center"/>
        </w:trPr>
        <w:tc>
          <w:tcPr>
            <w:tcW w:w="67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Variation de la Trésorerie Nette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595E" w:rsidRPr="00A8595E" w:rsidRDefault="00A8595E" w:rsidP="00A8595E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595E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5E" w:rsidRPr="00A8595E" w:rsidRDefault="00A8595E" w:rsidP="00A8595E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</w:tbl>
    <w:p w:rsidR="00A8595E" w:rsidRDefault="00A8595E"/>
    <w:sectPr w:rsidR="00A8595E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8595E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10249"/>
    <w:rsid w:val="00877B1E"/>
    <w:rsid w:val="008F062A"/>
    <w:rsid w:val="009A4FDC"/>
    <w:rsid w:val="009C7065"/>
    <w:rsid w:val="00A60ACB"/>
    <w:rsid w:val="00A735B2"/>
    <w:rsid w:val="00A8595E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2010-04-04T09:53:00Z</dcterms:created>
  <dcterms:modified xsi:type="dcterms:W3CDTF">2010-04-04T10:01:00Z</dcterms:modified>
</cp:coreProperties>
</file>