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AE258D" w:rsidRDefault="00AE258D"/>
    <w:tbl>
      <w:tblPr>
        <w:tblW w:w="12441" w:type="dxa"/>
        <w:jc w:val="center"/>
        <w:tblCellMar>
          <w:left w:w="70" w:type="dxa"/>
          <w:right w:w="70" w:type="dxa"/>
        </w:tblCellMar>
        <w:tblLook w:val="04A0"/>
      </w:tblPr>
      <w:tblGrid>
        <w:gridCol w:w="5204"/>
        <w:gridCol w:w="1045"/>
        <w:gridCol w:w="5255"/>
        <w:gridCol w:w="1045"/>
      </w:tblGrid>
      <w:tr w:rsidR="00AE258D" w:rsidRPr="00AE258D" w:rsidTr="00AE258D">
        <w:trPr>
          <w:trHeight w:val="315"/>
          <w:jc w:val="center"/>
        </w:trPr>
        <w:tc>
          <w:tcPr>
            <w:tcW w:w="12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AE258D" w:rsidRPr="00AE258D" w:rsidRDefault="00AE258D" w:rsidP="00AE258D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CHÂTEAU SA - Tableau de financement 1 de l'exercice N</w:t>
            </w:r>
          </w:p>
        </w:tc>
      </w:tr>
      <w:tr w:rsidR="00AE258D" w:rsidRPr="00AE258D" w:rsidTr="00AE258D">
        <w:trPr>
          <w:trHeight w:val="315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E258D" w:rsidRPr="00AE258D" w:rsidRDefault="00AE258D" w:rsidP="00AE258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sz w:val="22"/>
                <w:lang w:eastAsia="fr-FR"/>
              </w:rPr>
              <w:t>EMPLOIS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E258D" w:rsidRPr="00AE258D" w:rsidRDefault="00AE258D" w:rsidP="00AE258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sz w:val="22"/>
                <w:lang w:eastAsia="fr-FR"/>
              </w:rPr>
              <w:t>Montants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E258D" w:rsidRPr="00AE258D" w:rsidRDefault="00AE258D" w:rsidP="00AE258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sz w:val="22"/>
                <w:lang w:eastAsia="fr-FR"/>
              </w:rPr>
              <w:t>RESSOURCES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E258D" w:rsidRPr="00AE258D" w:rsidRDefault="00AE258D" w:rsidP="00AE258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sz w:val="22"/>
                <w:lang w:eastAsia="fr-FR"/>
              </w:rPr>
              <w:t>Montants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Distributions mises en paiement au cours de l'exercice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400.00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Capacité d'autofinancement de l'exercice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Acquisitions d'éléments de l'actif immobilisé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Cessions ou réductions d'éléments de l'actif immobilisé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Immobilisations incorporelles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Cessions d'immobilisations :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Immobilisations corporelles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 xml:space="preserve"> - incorporelles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Immobilisations financières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 xml:space="preserve"> - corporelles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75.00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Cessions ou réductions d'immobilisations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Charges à répartir sur plusieurs exercices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financières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Réductions des capitaux propres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Augmentation des capitaux propres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Augmentation de capital ou apports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Augmentation des autres capitaux propres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00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Remboursements des dettes financières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Augmentation des dettes financières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15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E258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15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E258D" w:rsidRPr="00AE258D" w:rsidRDefault="00AE258D" w:rsidP="00AE258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sz w:val="22"/>
                <w:lang w:eastAsia="fr-FR"/>
              </w:rPr>
              <w:t>Total des emplois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E258D" w:rsidRPr="00AE258D" w:rsidRDefault="00AE258D" w:rsidP="00AE258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sz w:val="22"/>
                <w:lang w:eastAsia="fr-FR"/>
              </w:rPr>
              <w:t>Total des ressources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615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Variation du fonds de roulement net global (ressource nette)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Variation du fonds de roulement net global     (emploi net)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  <w:t> </w:t>
            </w:r>
          </w:p>
        </w:tc>
      </w:tr>
      <w:tr w:rsidR="00AE258D" w:rsidRPr="00AE258D" w:rsidTr="00AE258D">
        <w:trPr>
          <w:trHeight w:val="315"/>
          <w:jc w:val="center"/>
        </w:trPr>
        <w:tc>
          <w:tcPr>
            <w:tcW w:w="5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E258D" w:rsidRPr="00AE258D" w:rsidRDefault="00AE258D" w:rsidP="00AE258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sz w:val="22"/>
                <w:lang w:eastAsia="fr-FR"/>
              </w:rPr>
              <w:t>TOTAL GENERAL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E258D" w:rsidRPr="00AE258D" w:rsidRDefault="00AE258D" w:rsidP="00AE258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sz w:val="22"/>
                <w:lang w:eastAsia="fr-FR"/>
              </w:rPr>
              <w:t>TOTAL GENERAL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258D" w:rsidRPr="00AE258D" w:rsidRDefault="00AE258D" w:rsidP="00AE258D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E258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</w:tbl>
    <w:p w:rsidR="00AE258D" w:rsidRDefault="00AE258D"/>
    <w:sectPr w:rsidR="00AE258D" w:rsidSect="00AE258D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E258D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AE258D"/>
    <w:rsid w:val="00B14669"/>
    <w:rsid w:val="00B254D2"/>
    <w:rsid w:val="00B51B5A"/>
    <w:rsid w:val="00BB3AA8"/>
    <w:rsid w:val="00CC0B14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2010-03-31T17:51:00Z</dcterms:created>
  <dcterms:modified xsi:type="dcterms:W3CDTF">2010-03-31T17:52:00Z</dcterms:modified>
</cp:coreProperties>
</file>